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Mediatiedote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Pr>
                <w:rFonts w:cs="Arial"/>
                <w:sz w:val="20"/>
              </w:rPr>
              <w:t>Frankfurt/Main, 17. huhtikuuta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4721A6" w:rsidRDefault="000057E5" w:rsidP="43BD70F1">
            <w:pPr>
              <w:spacing w:line="240" w:lineRule="auto"/>
              <w:rPr>
                <w:rFonts w:cs="Arial"/>
                <w:b/>
                <w:bCs/>
                <w:sz w:val="20"/>
              </w:rPr>
            </w:pPr>
          </w:p>
          <w:p w14:paraId="0C4E40E9" w14:textId="4295EF51" w:rsidR="009D5C1A" w:rsidRPr="004721A6" w:rsidRDefault="009359CB" w:rsidP="009D5C1A">
            <w:pPr>
              <w:spacing w:line="240" w:lineRule="auto"/>
              <w:rPr>
                <w:rFonts w:cs="Arial"/>
                <w:b/>
                <w:bCs/>
                <w:sz w:val="32"/>
                <w:szCs w:val="32"/>
              </w:rPr>
            </w:pPr>
            <w:r>
              <w:rPr>
                <w:rFonts w:cs="Arial"/>
                <w:b/>
                <w:bCs/>
                <w:sz w:val="32"/>
                <w:szCs w:val="32"/>
              </w:rPr>
              <w:t>GF Building Flow Solutionsin hiilineutraalit tehtaat: Kolme uutta toimipaikkaa on virstanpylväs matkalla kohti hiilineutraalia toimintaa.</w:t>
            </w:r>
          </w:p>
          <w:p w14:paraId="3C25F590" w14:textId="77777777" w:rsidR="009D5C1A" w:rsidRPr="004721A6" w:rsidRDefault="009D5C1A" w:rsidP="009D5C1A">
            <w:pPr>
              <w:spacing w:line="240" w:lineRule="auto"/>
              <w:rPr>
                <w:rFonts w:cs="Arial"/>
                <w:b/>
                <w:sz w:val="20"/>
              </w:rPr>
            </w:pPr>
          </w:p>
          <w:p w14:paraId="5337B9BF" w14:textId="7B740AE3" w:rsidR="00A63EF3" w:rsidRPr="004721A6" w:rsidRDefault="006551C2" w:rsidP="009D5C1A">
            <w:pPr>
              <w:spacing w:line="240" w:lineRule="auto"/>
              <w:rPr>
                <w:rFonts w:cs="Arial"/>
                <w:b/>
                <w:bCs/>
                <w:sz w:val="32"/>
                <w:szCs w:val="32"/>
              </w:rPr>
            </w:pPr>
            <w:r>
              <w:rPr>
                <w:rFonts w:cs="Arial"/>
                <w:b/>
                <w:sz w:val="20"/>
              </w:rPr>
              <w:t xml:space="preserve">GF Building Flow Solutions etenee hiilineutraalilla matkallaan lisäämällä kolme uutta tehdasta – Cerkezkoy (Turkki), Ecoflex-tuotanto Hassfurtissa (Saksa) ja Apple Valley (Yhdysvallat) – hiilineutraaleihin toimintoihinsa (Scope 1 &amp; 2). Tämä tulos korostaa GF Building Flow Solutionsin jatkuvaa sitoutumista resurssien kulutuksen minimointiin.  </w:t>
            </w:r>
          </w:p>
          <w:p w14:paraId="2FF03D29" w14:textId="77777777" w:rsidR="00A63EF3" w:rsidRPr="004721A6" w:rsidRDefault="00A63EF3" w:rsidP="001520F8">
            <w:pPr>
              <w:spacing w:line="240" w:lineRule="auto"/>
              <w:rPr>
                <w:rFonts w:cs="Arial"/>
                <w:b/>
                <w:sz w:val="20"/>
              </w:rPr>
            </w:pPr>
          </w:p>
          <w:p w14:paraId="3DDCC37C" w14:textId="2DAB9599" w:rsidR="00AA6FED" w:rsidRPr="004721A6" w:rsidRDefault="00D235B7" w:rsidP="00BD07DA">
            <w:pPr>
              <w:spacing w:line="240" w:lineRule="auto"/>
              <w:rPr>
                <w:rFonts w:cs="Arial"/>
                <w:sz w:val="20"/>
              </w:rPr>
            </w:pPr>
            <w:r>
              <w:rPr>
                <w:rFonts w:cs="Arial"/>
                <w:sz w:val="20"/>
              </w:rPr>
              <w:t xml:space="preserve">”GF Building Flow Solutions toimii alalla, jolla on merkittävä vaikutus ilmastonmuutoksen torjuntaan sekä hygieenisen juomaveden toimittamiseen, ja pyrkii jatkuvasti olemaan edelläkävijä rakennusten vastuullisissa vesiratkaisuissa. Tuotteidemme ja ratkaisujemme valmistus perustuu toimiviin ympäristönhallintakäytäntöihin, ja kaikissa maailmanlaajuisissa toiminnoissamme hyödynnetään uusiutuvia energialähteitä ympäristöjalanjäljen pienentämiseksi. Olemme sitoutuneet rajoittamaan aktiivisesti toimintamme vaikutuksia ja varmistamaan resurssien tehokkaan käytön”, sanoo </w:t>
            </w:r>
            <w:r w:rsidR="0045548B">
              <w:rPr>
                <w:rFonts w:cs="Arial"/>
                <w:sz w:val="20"/>
              </w:rPr>
              <w:t xml:space="preserve">Thomas Fuhr, Chief Technology Officer, </w:t>
            </w:r>
            <w:r>
              <w:rPr>
                <w:rFonts w:cs="Arial"/>
                <w:sz w:val="20"/>
              </w:rPr>
              <w:t xml:space="preserve">GF Building Flow Solutions. ”Cerkezkoyn tehtaan, Hassfurtin Ecoflex-tuotantolaitoksen ja Apple Valleyn tehtaan myötä olemme saavuttaneet jälleen yhden virstanpylvään GF:n matkalla kohti hiilineutraalia toimintaa.” </w:t>
            </w:r>
          </w:p>
          <w:p w14:paraId="33354859" w14:textId="77777777" w:rsidR="0002239B" w:rsidRPr="004721A6" w:rsidRDefault="0002239B" w:rsidP="00BD07DA">
            <w:pPr>
              <w:spacing w:line="240" w:lineRule="auto"/>
              <w:rPr>
                <w:rFonts w:cs="Arial"/>
                <w:sz w:val="20"/>
              </w:rPr>
            </w:pPr>
          </w:p>
          <w:p w14:paraId="1EFAB238" w14:textId="4B492078" w:rsidR="00340B6D" w:rsidRPr="004721A6" w:rsidRDefault="00BD07DA" w:rsidP="009D4E86">
            <w:pPr>
              <w:spacing w:line="240" w:lineRule="auto"/>
              <w:rPr>
                <w:rFonts w:cs="Arial"/>
                <w:sz w:val="20"/>
              </w:rPr>
            </w:pPr>
            <w:r>
              <w:rPr>
                <w:rFonts w:cs="Arial"/>
                <w:sz w:val="20"/>
              </w:rPr>
              <w:t xml:space="preserve">GF Building Flow Solutionsin Cerkezkoyssa (Turkki) sijaitseva tehdas eli Georg Fischer Hakan Plastik on erikoistunut korkealaatuisiin jätevesiratkaisuihin. Laitoksen päästövähennysten keskeiset toimet keskittyvät energianhallintaan ja energiatehokkuuteen, mukaan lukien uusiutuvan energian käyttö, joilla laitoksen päästöt vähenevät noin 95 prosenttia vuoden 2019 perustasoon verrattuna. Jätehuollon ja kiertotalouden toimenpiteet ovat vähentäneet tuotanto- ja laitosjätettä 36 prosenttia. </w:t>
            </w:r>
          </w:p>
          <w:p w14:paraId="6C72D868" w14:textId="38EEF215" w:rsidR="009D4E86" w:rsidRPr="004721A6" w:rsidRDefault="009D4E86" w:rsidP="00A10473">
            <w:pPr>
              <w:spacing w:line="240" w:lineRule="auto"/>
              <w:rPr>
                <w:rFonts w:cs="Arial"/>
                <w:sz w:val="20"/>
              </w:rPr>
            </w:pPr>
            <w:r>
              <w:rPr>
                <w:rFonts w:cs="Arial"/>
                <w:sz w:val="20"/>
              </w:rPr>
              <w:t xml:space="preserve">            </w:t>
            </w:r>
          </w:p>
          <w:p w14:paraId="3784F74B" w14:textId="13C326CF" w:rsidR="006C2607" w:rsidRPr="004721A6" w:rsidRDefault="00BD07DA" w:rsidP="006C2607">
            <w:pPr>
              <w:spacing w:line="240" w:lineRule="auto"/>
              <w:rPr>
                <w:rFonts w:cs="Arial"/>
                <w:sz w:val="20"/>
              </w:rPr>
            </w:pPr>
            <w:r>
              <w:rPr>
                <w:rFonts w:cs="Arial"/>
                <w:sz w:val="20"/>
              </w:rPr>
              <w:t xml:space="preserve">Hassfurtissa (Saksassa) sijaitseva Ecoflex-tuotanto aloitti siirtymisen kohti hiilineutraalia tuotantoa yli kymmenen vuotta sitten siirtymällä kokonaan käyttämään 100-prosenttisesti sertifioitua vihreää sähköä. Tärkeimpiä energiatehokkuutta parantavia toimenpiteitä tuotannossa ja rakennuksissa olivat lämmitysjärjestelmän päivitys ja muutostyöt, kuten aurinkoenergialaitoksen asentaminen. Näillä toimilla toimipisteen päästöt vähenivät noin 91 % verrattuna lähtötasoon. </w:t>
            </w:r>
          </w:p>
          <w:p w14:paraId="4362870F" w14:textId="77777777" w:rsidR="00422A7F" w:rsidRPr="004721A6" w:rsidRDefault="00422A7F" w:rsidP="006C2607">
            <w:pPr>
              <w:spacing w:line="240" w:lineRule="auto"/>
              <w:rPr>
                <w:rFonts w:cs="Arial"/>
                <w:sz w:val="20"/>
              </w:rPr>
            </w:pPr>
          </w:p>
          <w:p w14:paraId="563B1361" w14:textId="23C65F97" w:rsidR="005D27E6" w:rsidRPr="004721A6" w:rsidRDefault="007A00B6" w:rsidP="005D27E6">
            <w:pPr>
              <w:spacing w:line="240" w:lineRule="auto"/>
              <w:rPr>
                <w:rFonts w:cs="Arial"/>
                <w:sz w:val="20"/>
              </w:rPr>
            </w:pPr>
            <w:r>
              <w:rPr>
                <w:rFonts w:cs="Arial"/>
                <w:sz w:val="20"/>
              </w:rPr>
              <w:t>GF:n Pohjois-Amerikan pääkonttoriin kuuluva Apple Valleyn tuotantolaitos on toteuttanut merkittäviä toimenpiteitä hiilineutraaliuden saavuttamiseksi. Näihin kuuluvat 100-prosenttisesti vihreän sähkön käyttö, kolmen maakaasukattilan muuttaminen sähkökäyttöiseksi ja 100-prosenttisesti LED-valaistukseen siirtyminen. Lisäksi lähes 100 ikkunaa vaihdettiin tehokkuuden lisäämiseksi, ja RTU (etäpääteyksikkö) lämpenee nyt sähköllä maakaasun sijasta. Näillä toimilla tCO</w:t>
            </w:r>
            <w:r>
              <w:rPr>
                <w:rFonts w:cs="Arial"/>
                <w:sz w:val="20"/>
                <w:vertAlign w:val="subscript"/>
              </w:rPr>
              <w:t>2</w:t>
            </w:r>
            <w:r>
              <w:rPr>
                <w:rFonts w:cs="Arial"/>
                <w:sz w:val="20"/>
              </w:rPr>
              <w:t>e-päästöt vähenivät noin 93 % verrattuna lähtötasoon, mikä vähentää merkittävästi kasvihuonekaasupäästöjä.</w:t>
            </w:r>
          </w:p>
          <w:p w14:paraId="070F1F0E" w14:textId="77777777" w:rsidR="005D27E6" w:rsidRPr="004721A6" w:rsidRDefault="005D27E6" w:rsidP="005D27E6">
            <w:pPr>
              <w:spacing w:line="240" w:lineRule="auto"/>
              <w:rPr>
                <w:rFonts w:cs="Arial"/>
                <w:sz w:val="20"/>
              </w:rPr>
            </w:pPr>
          </w:p>
          <w:p w14:paraId="2F9FD90D" w14:textId="51C8346D" w:rsidR="006C2607" w:rsidRPr="004721A6" w:rsidRDefault="006C2607" w:rsidP="006C2607">
            <w:pPr>
              <w:spacing w:line="240" w:lineRule="auto"/>
              <w:rPr>
                <w:rFonts w:cs="Arial"/>
                <w:sz w:val="20"/>
              </w:rPr>
            </w:pPr>
            <w:r>
              <w:rPr>
                <w:rFonts w:cs="Arial"/>
                <w:sz w:val="20"/>
              </w:rPr>
              <w:t xml:space="preserve">Jotta saavutetaan täysi hiilineutraalius, kaikkien kolmen toimipisteen loput päästöt kompensoidaan GF Building Flow Solutionsin Carbon Neutral Factory -konseptin mukaisesti Verra-rekisterin avulla todennettavilla ja kumottavilla puupohjaisen hiilenpoiston yksiköillä sekä biohiilipohjaisella hiilenpoistolla käyttäen Puro.earth- tai Carbon Standards International -rekisteriä.  </w:t>
            </w:r>
          </w:p>
          <w:p w14:paraId="5E15546A" w14:textId="77777777" w:rsidR="009965FA" w:rsidRPr="004721A6" w:rsidRDefault="009965FA" w:rsidP="006C2607">
            <w:pPr>
              <w:spacing w:line="240" w:lineRule="auto"/>
              <w:rPr>
                <w:rFonts w:cs="Arial"/>
                <w:sz w:val="20"/>
              </w:rPr>
            </w:pPr>
          </w:p>
          <w:p w14:paraId="4FABEBB6" w14:textId="3327F711" w:rsidR="00A86B05" w:rsidRDefault="009965FA" w:rsidP="006C2607">
            <w:pPr>
              <w:spacing w:line="240" w:lineRule="auto"/>
              <w:rPr>
                <w:rFonts w:cs="Arial"/>
                <w:sz w:val="20"/>
              </w:rPr>
            </w:pPr>
            <w:r>
              <w:rPr>
                <w:rFonts w:cs="Arial"/>
                <w:sz w:val="20"/>
              </w:rPr>
              <w:t>”Olen ylpeä siitä, että olemme onnistuneet vähentämään päästöjä uusissa kohteissa tiimiemme ja kaikkien GF Building Flow Solutionsin kollegojen avulla, jotka ovat olleet mukana näissä prosesseissa," Thomas Fuhr sanoi. "Nämä saavutukset ovat osoitus jatkuvasta sitoutumisestamme alan edelläkävijän asemaan vastuullisuudessa."</w:t>
            </w:r>
          </w:p>
          <w:p w14:paraId="64EA88FF" w14:textId="77777777" w:rsidR="0045548B" w:rsidRDefault="0045548B" w:rsidP="006C2607">
            <w:pPr>
              <w:spacing w:line="240" w:lineRule="auto"/>
              <w:rPr>
                <w:rFonts w:cs="Arial"/>
                <w:sz w:val="20"/>
              </w:rPr>
            </w:pPr>
          </w:p>
          <w:p w14:paraId="7138D132" w14:textId="77777777" w:rsidR="0045548B" w:rsidRPr="004721A6" w:rsidRDefault="0045548B" w:rsidP="006C2607">
            <w:pPr>
              <w:spacing w:line="240" w:lineRule="auto"/>
              <w:rPr>
                <w:rFonts w:cs="Arial"/>
                <w:sz w:val="20"/>
              </w:rPr>
            </w:pPr>
          </w:p>
          <w:p w14:paraId="765666F3" w14:textId="77777777" w:rsidR="005D27E6" w:rsidRPr="004721A6" w:rsidRDefault="005D27E6" w:rsidP="006C2607">
            <w:pPr>
              <w:spacing w:line="240" w:lineRule="auto"/>
              <w:rPr>
                <w:rFonts w:cs="Arial"/>
                <w:sz w:val="20"/>
              </w:rPr>
            </w:pPr>
          </w:p>
          <w:p w14:paraId="4136B602" w14:textId="1D463C75" w:rsidR="007032A9" w:rsidRPr="004721A6" w:rsidRDefault="007032A9" w:rsidP="006C2607">
            <w:pPr>
              <w:spacing w:line="240" w:lineRule="auto"/>
              <w:rPr>
                <w:rFonts w:cs="Arial"/>
                <w:sz w:val="20"/>
              </w:rPr>
            </w:pPr>
            <w:r>
              <w:rPr>
                <w:rFonts w:cs="Arial"/>
                <w:sz w:val="20"/>
              </w:rPr>
              <w:lastRenderedPageBreak/>
              <w:t xml:space="preserve">Lisätietoa GF:n vastuullisuuspuitekehyksestä: </w:t>
            </w:r>
            <w:r>
              <w:fldChar w:fldCharType="begin"/>
            </w:r>
            <w:r>
              <w:instrText>HYPERLINK "https://www.georgfischer.com/en/sustainability-at-gf/sustainability-framework-2025.html"</w:instrText>
            </w:r>
            <w:r>
              <w:fldChar w:fldCharType="separate"/>
            </w:r>
            <w:r>
              <w:rPr>
                <w:rStyle w:val="Hyperlink"/>
                <w:rFonts w:cs="Arial"/>
                <w:sz w:val="20"/>
              </w:rPr>
              <w:t>https://www.georgfischer.com/en/sustainability-at-gf/sustainability-framework-2025.html</w:t>
            </w:r>
            <w:r>
              <w:fldChar w:fldCharType="end"/>
            </w:r>
            <w:r>
              <w:rPr>
                <w:rFonts w:cs="Arial"/>
                <w:sz w:val="20"/>
              </w:rPr>
              <w:t xml:space="preserve"> </w:t>
            </w:r>
          </w:p>
          <w:p w14:paraId="1989810E" w14:textId="77777777" w:rsidR="006C2607" w:rsidRPr="004721A6" w:rsidRDefault="006C2607" w:rsidP="006C2607">
            <w:pPr>
              <w:spacing w:line="240" w:lineRule="auto"/>
              <w:rPr>
                <w:rFonts w:eastAsia="Arial" w:cs="Arial"/>
                <w:sz w:val="20"/>
              </w:rPr>
            </w:pPr>
          </w:p>
          <w:p w14:paraId="383CF680" w14:textId="77777777" w:rsidR="00422A7F" w:rsidRPr="004721A6" w:rsidRDefault="00422A7F" w:rsidP="00B56ED5">
            <w:pPr>
              <w:spacing w:line="240" w:lineRule="auto"/>
              <w:rPr>
                <w:rFonts w:cs="Arial"/>
                <w:b/>
                <w:color w:val="000000"/>
                <w:sz w:val="20"/>
              </w:rPr>
            </w:pPr>
          </w:p>
          <w:p w14:paraId="033F7025" w14:textId="77777777" w:rsidR="00A233EB" w:rsidRPr="00426266" w:rsidRDefault="00A233EB" w:rsidP="00A233EB">
            <w:pPr>
              <w:spacing w:line="240" w:lineRule="auto"/>
              <w:rPr>
                <w:rStyle w:val="PlaceholderText"/>
                <w:rFonts w:cs="Arial"/>
                <w:b/>
                <w:color w:val="000000"/>
                <w:sz w:val="20"/>
              </w:rPr>
            </w:pPr>
            <w:r>
              <w:rPr>
                <w:rFonts w:cs="Arial"/>
                <w:b/>
                <w:color w:val="000000"/>
                <w:sz w:val="20"/>
              </w:rPr>
              <w:t>Yhteyshenkilö tiedotusvälineille:</w:t>
            </w:r>
          </w:p>
          <w:p w14:paraId="33BDF729" w14:textId="77777777" w:rsidR="00A233EB" w:rsidRPr="00426266" w:rsidRDefault="00A233EB" w:rsidP="00A233EB">
            <w:pPr>
              <w:spacing w:line="240" w:lineRule="auto"/>
              <w:rPr>
                <w:rFonts w:cs="Arial"/>
                <w:color w:val="000000"/>
                <w:sz w:val="20"/>
              </w:rPr>
            </w:pPr>
            <w:r>
              <w:rPr>
                <w:rFonts w:cs="Arial"/>
                <w:color w:val="000000"/>
                <w:sz w:val="20"/>
              </w:rPr>
              <w:t>Beatrix Pfundstein</w:t>
            </w:r>
          </w:p>
          <w:p w14:paraId="19BFB0D2" w14:textId="77777777" w:rsidR="00A233EB" w:rsidRPr="00426266" w:rsidRDefault="00A233EB" w:rsidP="00A233EB">
            <w:pPr>
              <w:spacing w:line="240" w:lineRule="auto"/>
              <w:rPr>
                <w:rFonts w:cs="Arial"/>
                <w:color w:val="000000"/>
                <w:sz w:val="20"/>
              </w:rPr>
            </w:pPr>
            <w:r>
              <w:rPr>
                <w:rFonts w:cs="Arial"/>
                <w:color w:val="000000"/>
                <w:sz w:val="20"/>
              </w:rPr>
              <w:t xml:space="preserve">Manager Global PR &amp; Communications </w:t>
            </w:r>
          </w:p>
          <w:p w14:paraId="69EF395C" w14:textId="77777777" w:rsidR="00A233EB" w:rsidRPr="00AB177E" w:rsidRDefault="00A233EB" w:rsidP="00A233EB">
            <w:pPr>
              <w:spacing w:line="240" w:lineRule="auto"/>
              <w:rPr>
                <w:rFonts w:cs="Arial"/>
                <w:color w:val="000000"/>
                <w:sz w:val="20"/>
                <w:lang w:val="en-US"/>
              </w:rPr>
            </w:pPr>
            <w:r w:rsidRPr="00426266">
              <w:rPr>
                <w:rFonts w:cs="Arial"/>
                <w:color w:val="000000"/>
                <w:sz w:val="20"/>
                <w:lang w:val="en-US"/>
              </w:rPr>
              <w:t>GF Building Flow Solutions</w:t>
            </w:r>
          </w:p>
          <w:p w14:paraId="19786CCB" w14:textId="77777777" w:rsidR="00A233EB" w:rsidRPr="00AB177E" w:rsidRDefault="00A233EB" w:rsidP="00A233EB">
            <w:pPr>
              <w:spacing w:line="240" w:lineRule="auto"/>
              <w:rPr>
                <w:rFonts w:cs="Arial"/>
                <w:color w:val="000000"/>
                <w:sz w:val="20"/>
                <w:lang w:val="en-US"/>
              </w:rPr>
            </w:pPr>
            <w:hyperlink r:id="rId11" w:history="1">
              <w:r w:rsidRPr="00426266">
                <w:rPr>
                  <w:rStyle w:val="Hyperlink"/>
                  <w:rFonts w:cs="Arial"/>
                  <w:sz w:val="20"/>
                  <w:lang w:val="en-US"/>
                </w:rPr>
                <w:t>beatrix.pfundstein@uponor.com</w:t>
              </w:r>
            </w:hyperlink>
          </w:p>
          <w:p w14:paraId="3BF27094" w14:textId="77777777" w:rsidR="00A233EB" w:rsidRPr="003D3B74" w:rsidRDefault="00A233EB" w:rsidP="00A233EB">
            <w:pPr>
              <w:autoSpaceDE w:val="0"/>
              <w:autoSpaceDN w:val="0"/>
              <w:adjustRightInd w:val="0"/>
              <w:spacing w:line="240" w:lineRule="auto"/>
              <w:rPr>
                <w:rFonts w:cs="Arial"/>
                <w:b/>
                <w:bCs/>
                <w:color w:val="000000"/>
                <w:sz w:val="20"/>
                <w:lang w:val="en-US"/>
              </w:rPr>
            </w:pPr>
            <w:r w:rsidRPr="00426266">
              <w:rPr>
                <w:rFonts w:cs="Arial"/>
                <w:color w:val="000000"/>
                <w:sz w:val="20"/>
                <w:lang w:val="en-US"/>
              </w:rPr>
              <w:t>+49 (0)69 795386015</w:t>
            </w:r>
          </w:p>
          <w:p w14:paraId="5ED5A685" w14:textId="77777777" w:rsidR="00A233EB" w:rsidRPr="007D507E" w:rsidRDefault="00A233EB" w:rsidP="00A233EB">
            <w:pPr>
              <w:spacing w:line="240" w:lineRule="auto"/>
              <w:rPr>
                <w:rFonts w:cs="Arial"/>
                <w:sz w:val="20"/>
                <w:lang w:val="en-US"/>
              </w:rPr>
            </w:pPr>
          </w:p>
          <w:p w14:paraId="45622477" w14:textId="77777777" w:rsidR="00A233EB" w:rsidRPr="007D507E" w:rsidRDefault="00A233EB" w:rsidP="00A233EB">
            <w:pPr>
              <w:spacing w:line="240" w:lineRule="auto"/>
              <w:rPr>
                <w:rFonts w:eastAsia="Arial" w:cs="Arial"/>
                <w:b/>
                <w:bCs/>
                <w:sz w:val="15"/>
                <w:szCs w:val="15"/>
                <w:lang w:val="en-US"/>
              </w:rPr>
            </w:pPr>
            <w:r w:rsidRPr="00426266">
              <w:rPr>
                <w:rFonts w:eastAsia="Arial" w:cs="Arial"/>
                <w:b/>
                <w:bCs/>
                <w:sz w:val="15"/>
                <w:szCs w:val="15"/>
                <w:lang w:val="en-US"/>
              </w:rPr>
              <w:t xml:space="preserve">GF Building Flow Solutions – Leading with Water </w:t>
            </w:r>
          </w:p>
          <w:p w14:paraId="611DD580" w14:textId="77777777" w:rsidR="00A233EB" w:rsidRPr="00426266" w:rsidRDefault="00A233EB" w:rsidP="00A233EB">
            <w:pPr>
              <w:spacing w:line="240" w:lineRule="auto"/>
              <w:rPr>
                <w:sz w:val="15"/>
                <w:szCs w:val="15"/>
              </w:rPr>
            </w:pPr>
            <w:r>
              <w:rPr>
                <w:sz w:val="15"/>
                <w:szCs w:val="15"/>
              </w:rPr>
              <w:t>Rakennusteollisuuden osuus maailman CO</w:t>
            </w:r>
            <w:r w:rsidRPr="00EB391F">
              <w:rPr>
                <w:sz w:val="15"/>
                <w:szCs w:val="15"/>
                <w:vertAlign w:val="subscript"/>
              </w:rPr>
              <w:t>2</w:t>
            </w:r>
            <w:r>
              <w:rPr>
                <w:sz w:val="15"/>
                <w:szCs w:val="15"/>
              </w:rPr>
              <w:t>-päästöistä on suuri, ja alati kasvava väestö tarvitsee puhdasta ja turvallista juomavettä; siksi GF Building Flow Solutionsin missio on aikamme haasteiden ratkaisemisessa: miten vastata energiatehokkaiden ja kohtuuhintaisten rakennusten, viihtyisien ja turvallisten kotien sekä puhtaan ja turvallisen juomaveden saatavuuden kasvavaan kysyntään. GF Building Flow Solutions Leading with Water avulla vapauttaen veden suuren potentiaalin resurssina parantaakseen rakennuksia, vauhdittaakseen kehitystä ja antaakseen asiakkaillemme mahdollisuuden olla tuottavampia ja vastuullisempia sekä varmistaakseen mukavuuden, terveyden ja tehokkuuden. Yhdistämällä alan johtavien tuotemerkkien GF, Uponor ja JRG parhaat puolet, jotka perustuvat luotettuun sveitsiläiseen, suomalaiseen ja saksalaiseen laatuun, asiakkaat saavat käyttöönsä laajimman teknologia-alustan moniin erilaisiin sovelluksiin, mikä takaa asiakastyytyväisyyden ja suorituskyvyn. Valikoima sisältää turvallisia ratkaisuja lämpimän ja kylmän veden syöttöön ja säätöön, melua vaimentavia jätevesijärjestelmiä sekä järjestelmiä energiatehokasta lämmitystä ja jäähdytystä varten. GF:n divisioonalla GF Building Flow Solutionsilla – joka tunnettiin aiemmin nimillä Uponor (Uponor Inc. Yhdysvalloissa ja Uponor Ltd. Kanadassa) ja GF Building Technology – on myyntiyhtiöitä 30 maassa ja tuotantolaitoksia 12 toimipaikassa Euroopassa ja Amerikan mantereella.</w:t>
            </w:r>
          </w:p>
          <w:p w14:paraId="50947B65" w14:textId="77777777" w:rsidR="00A233EB" w:rsidRPr="00A02CB3" w:rsidRDefault="00A233EB" w:rsidP="00A233EB">
            <w:pPr>
              <w:spacing w:line="240" w:lineRule="auto"/>
              <w:rPr>
                <w:sz w:val="15"/>
                <w:szCs w:val="15"/>
                <w:lang w:val="en-US"/>
              </w:rPr>
            </w:pPr>
            <w:r>
              <w:rPr>
                <w:sz w:val="15"/>
                <w:szCs w:val="15"/>
              </w:rPr>
              <w:t>#LeadingwithWater​</w:t>
            </w:r>
          </w:p>
          <w:p w14:paraId="6B4EC11C" w14:textId="77777777" w:rsidR="00A233EB" w:rsidRPr="007D507E" w:rsidRDefault="00A233EB" w:rsidP="00A233EB">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7532CD5" w14:textId="77777777" w:rsidR="00A233EB" w:rsidRPr="007D507E" w:rsidRDefault="00A233EB" w:rsidP="00A233EB">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4721A6" w:rsidRDefault="005F559D" w:rsidP="005F559D">
            <w:pPr>
              <w:spacing w:line="240" w:lineRule="auto"/>
              <w:rPr>
                <w:rFonts w:cs="Arial"/>
                <w:b/>
                <w:color w:val="000000"/>
                <w:sz w:val="20"/>
              </w:rPr>
            </w:pPr>
            <w:r>
              <w:rPr>
                <w:rFonts w:cs="Arial"/>
                <w:b/>
                <w:color w:val="000000"/>
                <w:sz w:val="20"/>
              </w:rPr>
              <w:t>Kuvat</w:t>
            </w:r>
          </w:p>
          <w:p w14:paraId="34C4232E" w14:textId="77777777" w:rsidR="005F559D" w:rsidRPr="004721A6" w:rsidRDefault="005F559D" w:rsidP="005F559D">
            <w:pPr>
              <w:spacing w:line="240" w:lineRule="auto"/>
              <w:rPr>
                <w:rFonts w:cs="Arial"/>
                <w:b/>
                <w:color w:val="000000"/>
                <w:sz w:val="20"/>
              </w:rPr>
            </w:pPr>
            <w:r>
              <w:rPr>
                <w:rFonts w:cs="Arial"/>
                <w:b/>
                <w:color w:val="000000"/>
                <w:sz w:val="20"/>
              </w:rPr>
              <w:t>Jälkipainos maksuton // huomioi tekijänoikeustiedot //</w:t>
            </w:r>
          </w:p>
          <w:p w14:paraId="63866CC8" w14:textId="77777777" w:rsidR="005F559D" w:rsidRPr="004721A6" w:rsidRDefault="005F559D" w:rsidP="005F559D">
            <w:pPr>
              <w:spacing w:line="240" w:lineRule="auto"/>
              <w:rPr>
                <w:rFonts w:cs="Arial"/>
                <w:b/>
                <w:color w:val="000000"/>
                <w:sz w:val="20"/>
              </w:rPr>
            </w:pPr>
            <w:r>
              <w:rPr>
                <w:rFonts w:cs="Arial"/>
                <w:b/>
                <w:color w:val="000000"/>
                <w:sz w:val="20"/>
              </w:rPr>
              <w:t>Ole hyvä ja toimita kopio lehdestä tai linkki verkkojulkaisuun</w:t>
            </w:r>
          </w:p>
          <w:p w14:paraId="0681F351" w14:textId="7C2D108C" w:rsidR="007819DF" w:rsidRPr="004721A6" w:rsidRDefault="007819DF" w:rsidP="007819DF">
            <w:pPr>
              <w:spacing w:line="240" w:lineRule="auto"/>
              <w:rPr>
                <w:rFonts w:cs="Arial"/>
                <w:b/>
                <w:color w:val="000000"/>
                <w:sz w:val="20"/>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sidRPr="004721A6">
              <w:rPr>
                <w:rFonts w:cs="Arial"/>
                <w:b/>
                <w:sz w:val="18"/>
                <w:szCs w:val="18"/>
                <w:lang w:val="en-US"/>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4721A6" w:rsidRDefault="005F559D" w:rsidP="00221232">
            <w:pPr>
              <w:spacing w:line="240" w:lineRule="auto"/>
              <w:rPr>
                <w:rFonts w:cs="Arial"/>
                <w:sz w:val="18"/>
                <w:szCs w:val="18"/>
              </w:rPr>
            </w:pPr>
            <w:r>
              <w:rPr>
                <w:rFonts w:cs="Arial"/>
                <w:sz w:val="18"/>
                <w:szCs w:val="18"/>
              </w:rPr>
              <w:t>GF Building Flow Solutions on edennyt matkallaan kohti hiilineutraalia toimintaa lisäämällä Cerkezkoyn (</w:t>
            </w:r>
            <w:r>
              <w:rPr>
                <w:sz w:val="18"/>
                <w:szCs w:val="18"/>
              </w:rPr>
              <w:t>Turkki</w:t>
            </w:r>
            <w:r>
              <w:rPr>
                <w:rFonts w:cs="Arial"/>
                <w:sz w:val="18"/>
                <w:szCs w:val="18"/>
              </w:rPr>
              <w:t xml:space="preserve">), Ecoflex-tuotannon Hassfurtissa </w:t>
            </w:r>
            <w:r>
              <w:rPr>
                <w:sz w:val="18"/>
                <w:szCs w:val="18"/>
              </w:rPr>
              <w:t xml:space="preserve">(Saksa) ja Apple Valleyn tuotantolaitoksen yhtiön Pohjois-Amerikan pääkonttorissa niiden </w:t>
            </w:r>
            <w:r>
              <w:rPr>
                <w:rFonts w:cs="Arial"/>
                <w:sz w:val="18"/>
                <w:szCs w:val="18"/>
              </w:rPr>
              <w:t>tuotantolaitosten joukkoon, jotka ovat saavuttaneet hiilineutraaliuden (scope 1 ja 2). Tämä korostaa GF Building Flow Solutionsin jatkuvaa sitoutumista luonnonvarojen kulutuksen minimoimiseen.</w:t>
            </w:r>
          </w:p>
          <w:p w14:paraId="0D953A3D" w14:textId="77777777" w:rsidR="005F559D" w:rsidRPr="004721A6" w:rsidRDefault="005F559D" w:rsidP="00221232">
            <w:pPr>
              <w:spacing w:line="240" w:lineRule="auto"/>
              <w:rPr>
                <w:rFonts w:cs="Arial"/>
                <w:sz w:val="18"/>
                <w:szCs w:val="18"/>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Lähde: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4721A6"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sidRPr="004721A6">
              <w:rPr>
                <w:rFonts w:cs="Arial"/>
                <w:b/>
                <w:sz w:val="18"/>
                <w:szCs w:val="18"/>
                <w:lang w:val="en-US"/>
              </w:rPr>
              <w:t xml:space="preserve">GF_BFS_ </w:t>
            </w:r>
            <w:proofErr w:type="spellStart"/>
            <w:r w:rsidRPr="004721A6">
              <w:rPr>
                <w:rFonts w:cs="Arial"/>
                <w:b/>
                <w:sz w:val="18"/>
                <w:szCs w:val="18"/>
                <w:lang w:val="en-US"/>
              </w:rPr>
              <w:t>Cerkezkoy</w:t>
            </w:r>
            <w:proofErr w:type="spellEnd"/>
            <w:r w:rsidRPr="004721A6">
              <w:rPr>
                <w:rFonts w:cs="Arial"/>
                <w:b/>
                <w:sz w:val="18"/>
                <w:szCs w:val="18"/>
                <w:lang w:val="en-US"/>
              </w:rPr>
              <w:t xml:space="preserve">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proofErr w:type="spellStart"/>
            <w:r w:rsidRPr="004721A6">
              <w:rPr>
                <w:rFonts w:cs="Arial"/>
                <w:sz w:val="18"/>
                <w:szCs w:val="18"/>
                <w:lang w:val="en-US"/>
              </w:rPr>
              <w:t>Ylpeänä</w:t>
            </w:r>
            <w:proofErr w:type="spellEnd"/>
            <w:r w:rsidRPr="004721A6">
              <w:rPr>
                <w:rFonts w:cs="Arial"/>
                <w:sz w:val="18"/>
                <w:szCs w:val="18"/>
                <w:lang w:val="en-US"/>
              </w:rPr>
              <w:t xml:space="preserve"> </w:t>
            </w:r>
            <w:proofErr w:type="spellStart"/>
            <w:r w:rsidRPr="004721A6">
              <w:rPr>
                <w:rFonts w:cs="Arial"/>
                <w:sz w:val="18"/>
                <w:szCs w:val="18"/>
                <w:lang w:val="en-US"/>
              </w:rPr>
              <w:t>hiilineutraaliuden</w:t>
            </w:r>
            <w:proofErr w:type="spellEnd"/>
            <w:r w:rsidRPr="004721A6">
              <w:rPr>
                <w:rFonts w:cs="Arial"/>
                <w:sz w:val="18"/>
                <w:szCs w:val="18"/>
                <w:lang w:val="en-US"/>
              </w:rPr>
              <w:t xml:space="preserve"> </w:t>
            </w:r>
            <w:proofErr w:type="spellStart"/>
            <w:r w:rsidRPr="004721A6">
              <w:rPr>
                <w:rFonts w:cs="Arial"/>
                <w:sz w:val="18"/>
                <w:szCs w:val="18"/>
                <w:lang w:val="en-US"/>
              </w:rPr>
              <w:t>saavuttamisesta</w:t>
            </w:r>
            <w:proofErr w:type="spellEnd"/>
            <w:r w:rsidRPr="004721A6">
              <w:rPr>
                <w:rFonts w:cs="Arial"/>
                <w:sz w:val="18"/>
                <w:szCs w:val="18"/>
                <w:lang w:val="en-US"/>
              </w:rPr>
              <w:t xml:space="preserve"> GF Building Flow </w:t>
            </w:r>
            <w:proofErr w:type="spellStart"/>
            <w:r w:rsidRPr="004721A6">
              <w:rPr>
                <w:rFonts w:cs="Arial"/>
                <w:sz w:val="18"/>
                <w:szCs w:val="18"/>
                <w:lang w:val="en-US"/>
              </w:rPr>
              <w:t>Solutionsin</w:t>
            </w:r>
            <w:proofErr w:type="spellEnd"/>
            <w:r w:rsidRPr="004721A6">
              <w:rPr>
                <w:rFonts w:cs="Arial"/>
                <w:sz w:val="18"/>
                <w:szCs w:val="18"/>
                <w:lang w:val="en-US"/>
              </w:rPr>
              <w:t xml:space="preserve"> </w:t>
            </w:r>
            <w:proofErr w:type="spellStart"/>
            <w:r w:rsidRPr="004721A6">
              <w:rPr>
                <w:rFonts w:cs="Arial"/>
                <w:sz w:val="18"/>
                <w:szCs w:val="18"/>
                <w:lang w:val="en-US"/>
              </w:rPr>
              <w:t>Cerkezkoyn</w:t>
            </w:r>
            <w:proofErr w:type="spellEnd"/>
            <w:r w:rsidRPr="004721A6">
              <w:rPr>
                <w:rFonts w:cs="Arial"/>
                <w:sz w:val="18"/>
                <w:szCs w:val="18"/>
                <w:lang w:val="en-US"/>
              </w:rPr>
              <w:t xml:space="preserve"> (</w:t>
            </w:r>
            <w:proofErr w:type="spellStart"/>
            <w:r w:rsidRPr="004721A6">
              <w:rPr>
                <w:rFonts w:cs="Arial"/>
                <w:sz w:val="18"/>
                <w:szCs w:val="18"/>
                <w:lang w:val="en-US"/>
              </w:rPr>
              <w:t>Turkki</w:t>
            </w:r>
            <w:proofErr w:type="spellEnd"/>
            <w:r w:rsidRPr="004721A6">
              <w:rPr>
                <w:rFonts w:cs="Arial"/>
                <w:sz w:val="18"/>
                <w:szCs w:val="18"/>
                <w:lang w:val="en-US"/>
              </w:rPr>
              <w:t xml:space="preserve">) </w:t>
            </w:r>
            <w:proofErr w:type="spellStart"/>
            <w:r w:rsidRPr="004721A6">
              <w:rPr>
                <w:rFonts w:cs="Arial"/>
                <w:sz w:val="18"/>
                <w:szCs w:val="18"/>
                <w:lang w:val="en-US"/>
              </w:rPr>
              <w:t>eli</w:t>
            </w:r>
            <w:proofErr w:type="spellEnd"/>
            <w:r w:rsidRPr="004721A6">
              <w:rPr>
                <w:rFonts w:cs="Arial"/>
                <w:sz w:val="18"/>
                <w:szCs w:val="18"/>
                <w:lang w:val="en-US"/>
              </w:rPr>
              <w:t xml:space="preserve"> Georg Fischer Hakan </w:t>
            </w:r>
            <w:proofErr w:type="spellStart"/>
            <w:r w:rsidRPr="004721A6">
              <w:rPr>
                <w:rFonts w:cs="Arial"/>
                <w:sz w:val="18"/>
                <w:szCs w:val="18"/>
                <w:lang w:val="en-US"/>
              </w:rPr>
              <w:t>Plastikin</w:t>
            </w:r>
            <w:proofErr w:type="spellEnd"/>
            <w:r w:rsidRPr="004721A6">
              <w:rPr>
                <w:rFonts w:cs="Arial"/>
                <w:sz w:val="18"/>
                <w:szCs w:val="18"/>
                <w:lang w:val="en-US"/>
              </w:rPr>
              <w:t xml:space="preserve"> </w:t>
            </w:r>
            <w:proofErr w:type="spellStart"/>
            <w:r w:rsidRPr="004721A6">
              <w:rPr>
                <w:rFonts w:cs="Arial"/>
                <w:sz w:val="18"/>
                <w:szCs w:val="18"/>
                <w:lang w:val="en-US"/>
              </w:rPr>
              <w:t>tehdasalueella</w:t>
            </w:r>
            <w:proofErr w:type="spellEnd"/>
            <w:r w:rsidRPr="004721A6">
              <w:rPr>
                <w:rFonts w:cs="Arial"/>
                <w:sz w:val="18"/>
                <w:szCs w:val="18"/>
                <w:lang w:val="en-US"/>
              </w:rPr>
              <w:t xml:space="preserve"> (</w:t>
            </w:r>
            <w:proofErr w:type="spellStart"/>
            <w:r w:rsidRPr="004721A6">
              <w:rPr>
                <w:rFonts w:cs="Arial"/>
                <w:sz w:val="18"/>
                <w:szCs w:val="18"/>
                <w:lang w:val="en-US"/>
              </w:rPr>
              <w:t>ensimmäinen</w:t>
            </w:r>
            <w:proofErr w:type="spellEnd"/>
            <w:r w:rsidRPr="004721A6">
              <w:rPr>
                <w:rFonts w:cs="Arial"/>
                <w:sz w:val="18"/>
                <w:szCs w:val="18"/>
                <w:lang w:val="en-US"/>
              </w:rPr>
              <w:t xml:space="preserve"> </w:t>
            </w:r>
            <w:proofErr w:type="spellStart"/>
            <w:r w:rsidRPr="004721A6">
              <w:rPr>
                <w:rFonts w:cs="Arial"/>
                <w:sz w:val="18"/>
                <w:szCs w:val="18"/>
                <w:lang w:val="en-US"/>
              </w:rPr>
              <w:t>rivi</w:t>
            </w:r>
            <w:proofErr w:type="spellEnd"/>
            <w:r w:rsidRPr="004721A6">
              <w:rPr>
                <w:rFonts w:cs="Arial"/>
                <w:sz w:val="18"/>
                <w:szCs w:val="18"/>
                <w:lang w:val="en-US"/>
              </w:rPr>
              <w:t xml:space="preserve">, </w:t>
            </w:r>
            <w:proofErr w:type="spellStart"/>
            <w:r w:rsidRPr="004721A6">
              <w:rPr>
                <w:rFonts w:cs="Arial"/>
                <w:sz w:val="18"/>
                <w:szCs w:val="18"/>
                <w:lang w:val="en-US"/>
              </w:rPr>
              <w:t>vasemmalta</w:t>
            </w:r>
            <w:proofErr w:type="spellEnd"/>
            <w:r w:rsidRPr="004721A6">
              <w:rPr>
                <w:rFonts w:cs="Arial"/>
                <w:sz w:val="18"/>
                <w:szCs w:val="18"/>
                <w:lang w:val="en-US"/>
              </w:rPr>
              <w:t xml:space="preserve"> </w:t>
            </w:r>
            <w:proofErr w:type="spellStart"/>
            <w:r w:rsidRPr="004721A6">
              <w:rPr>
                <w:rFonts w:cs="Arial"/>
                <w:sz w:val="18"/>
                <w:szCs w:val="18"/>
                <w:lang w:val="en-US"/>
              </w:rPr>
              <w:t>oikealle</w:t>
            </w:r>
            <w:proofErr w:type="spellEnd"/>
            <w:r w:rsidRPr="004721A6">
              <w:rPr>
                <w:rFonts w:cs="Arial"/>
                <w:sz w:val="18"/>
                <w:szCs w:val="18"/>
                <w:lang w:val="en-US"/>
              </w:rPr>
              <w:t xml:space="preserve">): Harun Albayrak, Production Manager, Andreas Weiglein, Vice President Operations, Thomas Fuhr, Chief Technology Officer, Esra Erdal, Managing Director, </w:t>
            </w:r>
            <w:proofErr w:type="spellStart"/>
            <w:r w:rsidRPr="004721A6">
              <w:rPr>
                <w:rFonts w:cs="Arial"/>
                <w:sz w:val="18"/>
                <w:szCs w:val="18"/>
                <w:lang w:val="en-US"/>
              </w:rPr>
              <w:t>Yenal</w:t>
            </w:r>
            <w:proofErr w:type="spellEnd"/>
            <w:r w:rsidRPr="004721A6">
              <w:rPr>
                <w:rFonts w:cs="Arial"/>
                <w:sz w:val="18"/>
                <w:szCs w:val="18"/>
                <w:lang w:val="en-US"/>
              </w:rPr>
              <w:t xml:space="preserve">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sidRPr="004721A6">
              <w:rPr>
                <w:rFonts w:cs="Arial"/>
                <w:b/>
                <w:sz w:val="18"/>
                <w:szCs w:val="18"/>
                <w:lang w:val="en-US"/>
              </w:rPr>
              <w:t xml:space="preserve">Lähde: GF Building Flow Solutions  </w:t>
            </w:r>
          </w:p>
        </w:tc>
      </w:tr>
      <w:tr w:rsidR="00885163" w:rsidRPr="004721A6"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4721A6"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lastRenderedPageBreak/>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sidRPr="004721A6">
              <w:rPr>
                <w:rFonts w:cs="Arial"/>
                <w:b/>
                <w:sz w:val="18"/>
                <w:szCs w:val="18"/>
                <w:lang w:val="en-US"/>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proofErr w:type="spellStart"/>
            <w:r w:rsidRPr="004721A6">
              <w:rPr>
                <w:rFonts w:cs="Arial"/>
                <w:sz w:val="18"/>
                <w:szCs w:val="18"/>
                <w:lang w:val="en-US"/>
              </w:rPr>
              <w:t>Turkissa</w:t>
            </w:r>
            <w:proofErr w:type="spellEnd"/>
            <w:r w:rsidRPr="004721A6">
              <w:rPr>
                <w:rFonts w:cs="Arial"/>
                <w:sz w:val="18"/>
                <w:szCs w:val="18"/>
                <w:lang w:val="en-US"/>
              </w:rPr>
              <w:t xml:space="preserve"> </w:t>
            </w:r>
            <w:proofErr w:type="spellStart"/>
            <w:r w:rsidRPr="004721A6">
              <w:rPr>
                <w:rFonts w:cs="Arial"/>
                <w:sz w:val="18"/>
                <w:szCs w:val="18"/>
                <w:lang w:val="en-US"/>
              </w:rPr>
              <w:t>sijaitsevassa</w:t>
            </w:r>
            <w:proofErr w:type="spellEnd"/>
            <w:r w:rsidRPr="004721A6">
              <w:rPr>
                <w:rFonts w:cs="Arial"/>
                <w:sz w:val="18"/>
                <w:szCs w:val="18"/>
                <w:lang w:val="en-US"/>
              </w:rPr>
              <w:t xml:space="preserve"> </w:t>
            </w:r>
            <w:proofErr w:type="spellStart"/>
            <w:r w:rsidRPr="004721A6">
              <w:rPr>
                <w:rFonts w:cs="Arial"/>
                <w:sz w:val="18"/>
                <w:szCs w:val="18"/>
                <w:lang w:val="en-US"/>
              </w:rPr>
              <w:t>Cerkezkoyn</w:t>
            </w:r>
            <w:proofErr w:type="spellEnd"/>
            <w:r w:rsidRPr="004721A6">
              <w:rPr>
                <w:rFonts w:cs="Arial"/>
                <w:sz w:val="18"/>
                <w:szCs w:val="18"/>
                <w:lang w:val="en-US"/>
              </w:rPr>
              <w:t xml:space="preserve"> </w:t>
            </w:r>
            <w:proofErr w:type="spellStart"/>
            <w:r w:rsidRPr="004721A6">
              <w:rPr>
                <w:rFonts w:cs="Arial"/>
                <w:sz w:val="18"/>
                <w:szCs w:val="18"/>
                <w:lang w:val="en-US"/>
              </w:rPr>
              <w:t>tehtaassa</w:t>
            </w:r>
            <w:proofErr w:type="spellEnd"/>
            <w:r w:rsidRPr="004721A6">
              <w:rPr>
                <w:rFonts w:cs="Arial"/>
                <w:sz w:val="18"/>
                <w:szCs w:val="18"/>
                <w:lang w:val="en-US"/>
              </w:rPr>
              <w:t xml:space="preserve"> </w:t>
            </w:r>
            <w:proofErr w:type="spellStart"/>
            <w:r w:rsidRPr="004721A6">
              <w:rPr>
                <w:rFonts w:cs="Arial"/>
                <w:sz w:val="18"/>
                <w:szCs w:val="18"/>
                <w:lang w:val="en-US"/>
              </w:rPr>
              <w:t>eli</w:t>
            </w:r>
            <w:proofErr w:type="spellEnd"/>
            <w:r w:rsidRPr="004721A6">
              <w:rPr>
                <w:rFonts w:cs="Arial"/>
                <w:sz w:val="18"/>
                <w:szCs w:val="18"/>
                <w:lang w:val="en-US"/>
              </w:rPr>
              <w:t xml:space="preserve"> Georg Fischer Hakan </w:t>
            </w:r>
            <w:proofErr w:type="spellStart"/>
            <w:r w:rsidRPr="004721A6">
              <w:rPr>
                <w:rFonts w:cs="Arial"/>
                <w:sz w:val="18"/>
                <w:szCs w:val="18"/>
                <w:lang w:val="en-US"/>
              </w:rPr>
              <w:t>Plastikissa</w:t>
            </w:r>
            <w:proofErr w:type="spellEnd"/>
            <w:r w:rsidRPr="004721A6">
              <w:rPr>
                <w:rFonts w:cs="Arial"/>
                <w:sz w:val="18"/>
                <w:szCs w:val="18"/>
                <w:lang w:val="en-US"/>
              </w:rPr>
              <w:t xml:space="preserve"> </w:t>
            </w:r>
            <w:proofErr w:type="spellStart"/>
            <w:r w:rsidRPr="004721A6">
              <w:rPr>
                <w:rFonts w:cs="Arial"/>
                <w:sz w:val="18"/>
                <w:szCs w:val="18"/>
                <w:lang w:val="en-US"/>
              </w:rPr>
              <w:t>valmistetaan</w:t>
            </w:r>
            <w:proofErr w:type="spellEnd"/>
            <w:r w:rsidRPr="004721A6">
              <w:rPr>
                <w:rFonts w:cs="Arial"/>
                <w:sz w:val="18"/>
                <w:szCs w:val="18"/>
                <w:lang w:val="en-US"/>
              </w:rPr>
              <w:t xml:space="preserve"> </w:t>
            </w:r>
            <w:proofErr w:type="spellStart"/>
            <w:r w:rsidRPr="004721A6">
              <w:rPr>
                <w:rFonts w:cs="Arial"/>
                <w:sz w:val="18"/>
                <w:szCs w:val="18"/>
                <w:lang w:val="en-US"/>
              </w:rPr>
              <w:t>jätevesijärjestelmiä</w:t>
            </w:r>
            <w:proofErr w:type="spellEnd"/>
            <w:r w:rsidRPr="004721A6">
              <w:rPr>
                <w:rFonts w:cs="Arial"/>
                <w:sz w:val="18"/>
                <w:szCs w:val="18"/>
                <w:lang w:val="en-US"/>
              </w:rPr>
              <w:t xml:space="preserve"> </w:t>
            </w:r>
            <w:proofErr w:type="spellStart"/>
            <w:r w:rsidRPr="004721A6">
              <w:rPr>
                <w:rFonts w:cs="Arial"/>
                <w:sz w:val="18"/>
                <w:szCs w:val="18"/>
                <w:lang w:val="en-US"/>
              </w:rPr>
              <w:t>laadukkailla</w:t>
            </w:r>
            <w:proofErr w:type="spellEnd"/>
            <w:r w:rsidRPr="004721A6">
              <w:rPr>
                <w:rFonts w:cs="Arial"/>
                <w:sz w:val="18"/>
                <w:szCs w:val="18"/>
                <w:lang w:val="en-US"/>
              </w:rPr>
              <w:t xml:space="preserve"> </w:t>
            </w:r>
            <w:proofErr w:type="spellStart"/>
            <w:r w:rsidRPr="004721A6">
              <w:rPr>
                <w:rFonts w:cs="Arial"/>
                <w:sz w:val="18"/>
                <w:szCs w:val="18"/>
                <w:lang w:val="en-US"/>
              </w:rPr>
              <w:t>ratkaisuilla</w:t>
            </w:r>
            <w:proofErr w:type="spellEnd"/>
            <w:r w:rsidRPr="004721A6">
              <w:rPr>
                <w:rFonts w:cs="Arial"/>
                <w:sz w:val="18"/>
                <w:szCs w:val="18"/>
                <w:lang w:val="en-US"/>
              </w:rPr>
              <w:t xml:space="preserve">, </w:t>
            </w:r>
            <w:proofErr w:type="spellStart"/>
            <w:r w:rsidRPr="004721A6">
              <w:rPr>
                <w:rFonts w:cs="Arial"/>
                <w:sz w:val="18"/>
                <w:szCs w:val="18"/>
                <w:lang w:val="en-US"/>
              </w:rPr>
              <w:t>kuten</w:t>
            </w:r>
            <w:proofErr w:type="spellEnd"/>
            <w:r w:rsidRPr="004721A6">
              <w:rPr>
                <w:rFonts w:cs="Arial"/>
                <w:sz w:val="18"/>
                <w:szCs w:val="18"/>
                <w:lang w:val="en-US"/>
              </w:rPr>
              <w:t xml:space="preserve"> GF </w:t>
            </w:r>
            <w:proofErr w:type="spellStart"/>
            <w:r w:rsidRPr="004721A6">
              <w:rPr>
                <w:rFonts w:cs="Arial"/>
                <w:sz w:val="18"/>
                <w:szCs w:val="18"/>
                <w:lang w:val="en-US"/>
              </w:rPr>
              <w:t>Silenta</w:t>
            </w:r>
            <w:proofErr w:type="spellEnd"/>
            <w:r w:rsidRPr="004721A6">
              <w:rPr>
                <w:rFonts w:cs="Arial"/>
                <w:sz w:val="18"/>
                <w:szCs w:val="18"/>
                <w:lang w:val="en-US"/>
              </w:rPr>
              <w:t xml:space="preserve"> Premium (</w:t>
            </w:r>
            <w:proofErr w:type="spellStart"/>
            <w:r w:rsidRPr="004721A6">
              <w:rPr>
                <w:rFonts w:cs="Arial"/>
                <w:sz w:val="18"/>
                <w:szCs w:val="18"/>
                <w:lang w:val="en-US"/>
              </w:rPr>
              <w:t>kuvassa</w:t>
            </w:r>
            <w:proofErr w:type="spellEnd"/>
            <w:r w:rsidRPr="004721A6">
              <w:rPr>
                <w:rFonts w:cs="Arial"/>
                <w:sz w:val="18"/>
                <w:szCs w:val="18"/>
                <w:lang w:val="en-US"/>
              </w:rPr>
              <w:t xml:space="preserve">), GF </w:t>
            </w:r>
            <w:proofErr w:type="spellStart"/>
            <w:r w:rsidRPr="004721A6">
              <w:rPr>
                <w:rFonts w:cs="Arial"/>
                <w:sz w:val="18"/>
                <w:szCs w:val="18"/>
                <w:lang w:val="en-US"/>
              </w:rPr>
              <w:t>Silenta</w:t>
            </w:r>
            <w:proofErr w:type="spellEnd"/>
            <w:r w:rsidRPr="004721A6">
              <w:rPr>
                <w:rFonts w:cs="Arial"/>
                <w:sz w:val="18"/>
                <w:szCs w:val="18"/>
                <w:lang w:val="en-US"/>
              </w:rPr>
              <w:t xml:space="preserve"> 3A tai GF HT-PP.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sidRPr="004721A6">
              <w:rPr>
                <w:rFonts w:cs="Arial"/>
                <w:b/>
                <w:bCs/>
                <w:sz w:val="18"/>
                <w:szCs w:val="18"/>
                <w:lang w:val="en-US"/>
              </w:rPr>
              <w:t>Lähde: GF Building Flow Solutions</w:t>
            </w:r>
            <w:r w:rsidRPr="004721A6">
              <w:rPr>
                <w:rFonts w:cs="Arial"/>
                <w:b/>
                <w:sz w:val="18"/>
                <w:szCs w:val="18"/>
                <w:lang w:val="en-US"/>
              </w:rPr>
              <w:t xml:space="preserve">  </w:t>
            </w:r>
          </w:p>
        </w:tc>
      </w:tr>
      <w:tr w:rsidR="006B0719" w:rsidRPr="00653A02"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sidRPr="004721A6">
              <w:rPr>
                <w:rFonts w:cs="Arial"/>
                <w:bCs/>
                <w:color w:val="FF0000"/>
                <w:sz w:val="18"/>
                <w:szCs w:val="18"/>
                <w:lang w:val="en-US"/>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19113DA3" w:rsidR="00C004CE" w:rsidRPr="00A97303" w:rsidRDefault="006D62D0" w:rsidP="00C004CE">
            <w:pPr>
              <w:spacing w:line="240" w:lineRule="auto"/>
              <w:rPr>
                <w:rFonts w:cs="Arial"/>
                <w:b/>
                <w:sz w:val="18"/>
                <w:szCs w:val="18"/>
                <w:lang w:val="en-US"/>
              </w:rPr>
            </w:pPr>
            <w:r>
              <w:rPr>
                <w:rFonts w:cs="Arial"/>
                <w:b/>
                <w:sz w:val="18"/>
                <w:szCs w:val="18"/>
              </w:rPr>
              <w:t>GF_BFS_Ecoflex_VIP</w:t>
            </w:r>
            <w:r w:rsidR="0045548B">
              <w:rPr>
                <w:rFonts w:cs="Arial"/>
                <w:b/>
                <w:sz w:val="18"/>
                <w:szCs w:val="18"/>
              </w:rPr>
              <w:t>_</w:t>
            </w:r>
            <w:r>
              <w:rPr>
                <w:rFonts w:cs="Arial"/>
                <w:b/>
                <w:sz w:val="18"/>
                <w:szCs w:val="18"/>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422A7F" w:rsidRDefault="00EC4AD9" w:rsidP="00333FA2">
            <w:pPr>
              <w:spacing w:line="240" w:lineRule="auto"/>
              <w:rPr>
                <w:rFonts w:cs="Arial"/>
                <w:sz w:val="18"/>
                <w:szCs w:val="18"/>
                <w:lang w:val="en-US"/>
              </w:rPr>
            </w:pPr>
            <w:r>
              <w:rPr>
                <w:rFonts w:cs="Arial"/>
                <w:sz w:val="18"/>
                <w:szCs w:val="18"/>
              </w:rPr>
              <w:t xml:space="preserve">GF Building Flow Solutionsin Ecoflex-tuotantolaitos Hassfurtissa (Saksa) on saavuttanut hiilineutraaliuden. Täällä valmistetaan ja toimitetaan Ecoflex- ja Ecoflex-VIP-putkia (kuvassa) kaukolämmitykseen, -jäähdytykseen ja vedenjakeluun eri puolilla maailmaa sijaitseviin hankkeisiin. </w:t>
            </w:r>
          </w:p>
          <w:p w14:paraId="0C2CF949" w14:textId="77777777" w:rsidR="00A97303" w:rsidRDefault="00A97303" w:rsidP="00C004CE">
            <w:pPr>
              <w:spacing w:line="240" w:lineRule="auto"/>
              <w:rPr>
                <w:rFonts w:cs="Arial"/>
                <w:b/>
                <w:bCs/>
                <w:sz w:val="18"/>
                <w:szCs w:val="18"/>
                <w:lang w:val="en-US"/>
              </w:rPr>
            </w:pPr>
          </w:p>
          <w:p w14:paraId="0019D510" w14:textId="77777777" w:rsidR="00A97303" w:rsidRDefault="00A97303" w:rsidP="00C004CE">
            <w:pPr>
              <w:spacing w:line="240" w:lineRule="auto"/>
              <w:rPr>
                <w:rFonts w:cs="Arial"/>
                <w:b/>
                <w:bCs/>
                <w:sz w:val="18"/>
                <w:szCs w:val="18"/>
                <w:lang w:val="en-US"/>
              </w:rPr>
            </w:pPr>
          </w:p>
          <w:p w14:paraId="192DDBD3" w14:textId="77777777" w:rsidR="008A02C5" w:rsidRDefault="008A02C5" w:rsidP="00C004CE">
            <w:pPr>
              <w:spacing w:line="240" w:lineRule="auto"/>
              <w:rPr>
                <w:rFonts w:cs="Arial"/>
                <w:b/>
                <w:bCs/>
                <w:sz w:val="18"/>
                <w:szCs w:val="18"/>
                <w:lang w:val="en-US"/>
              </w:rPr>
            </w:pPr>
          </w:p>
          <w:p w14:paraId="5FEE0D4A" w14:textId="77777777" w:rsidR="00071F41" w:rsidRPr="00A97303" w:rsidRDefault="00071F41" w:rsidP="00C004CE">
            <w:pPr>
              <w:spacing w:line="240" w:lineRule="auto"/>
              <w:rPr>
                <w:rFonts w:cs="Arial"/>
                <w:b/>
                <w:bCs/>
                <w:sz w:val="18"/>
                <w:szCs w:val="18"/>
                <w:lang w:val="en-US"/>
              </w:rPr>
            </w:pPr>
          </w:p>
          <w:p w14:paraId="1D63CF37" w14:textId="77777777" w:rsidR="006B0719" w:rsidRDefault="00C004CE" w:rsidP="00C004CE">
            <w:pPr>
              <w:spacing w:line="240" w:lineRule="auto"/>
              <w:rPr>
                <w:rFonts w:cs="Arial"/>
                <w:b/>
                <w:sz w:val="18"/>
                <w:szCs w:val="18"/>
              </w:rPr>
            </w:pPr>
            <w:r>
              <w:rPr>
                <w:rFonts w:cs="Arial"/>
                <w:b/>
                <w:bCs/>
                <w:sz w:val="18"/>
                <w:szCs w:val="18"/>
              </w:rPr>
              <w:t>Lähde: GF Building Flow Solutions</w:t>
            </w:r>
            <w:r>
              <w:rPr>
                <w:rFonts w:cs="Arial"/>
                <w:b/>
                <w:sz w:val="18"/>
                <w:szCs w:val="18"/>
              </w:rPr>
              <w:t xml:space="preserve">  </w:t>
            </w:r>
          </w:p>
          <w:p w14:paraId="0564101B" w14:textId="5FEB106A" w:rsidR="0045548B" w:rsidRPr="00A97303" w:rsidRDefault="0045548B" w:rsidP="00C004CE">
            <w:pPr>
              <w:spacing w:line="240" w:lineRule="auto"/>
              <w:rPr>
                <w:rFonts w:cs="Arial"/>
                <w:sz w:val="20"/>
                <w:lang w:val="en-US"/>
              </w:rPr>
            </w:pPr>
          </w:p>
        </w:tc>
      </w:tr>
      <w:tr w:rsidR="00CD4910" w:rsidRPr="00653A02"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6A6436A3" w14:textId="77777777" w:rsidR="0045548B" w:rsidRDefault="0045548B" w:rsidP="0045548B">
            <w:pPr>
              <w:spacing w:line="240" w:lineRule="auto"/>
              <w:rPr>
                <w:rFonts w:cs="Arial"/>
                <w:b/>
                <w:sz w:val="18"/>
                <w:szCs w:val="18"/>
                <w:lang w:val="en-US"/>
              </w:rPr>
            </w:pPr>
            <w:proofErr w:type="spellStart"/>
            <w:r w:rsidRPr="00787CD0">
              <w:rPr>
                <w:rFonts w:cs="Arial"/>
                <w:b/>
                <w:sz w:val="18"/>
                <w:szCs w:val="18"/>
                <w:lang w:val="en-US"/>
              </w:rPr>
              <w:t>GF_BFS_</w:t>
            </w:r>
            <w:r>
              <w:rPr>
                <w:rFonts w:cs="Arial"/>
                <w:b/>
                <w:sz w:val="18"/>
                <w:szCs w:val="18"/>
                <w:lang w:val="en-US"/>
              </w:rPr>
              <w:t>Apple_Valley_Manufacturing</w:t>
            </w:r>
            <w:proofErr w:type="spellEnd"/>
            <w:r>
              <w:rPr>
                <w:rFonts w:cs="Arial"/>
                <w:b/>
                <w:sz w:val="18"/>
                <w:szCs w:val="18"/>
                <w:lang w:val="en-US"/>
              </w:rPr>
              <w:t>_</w:t>
            </w:r>
          </w:p>
          <w:p w14:paraId="21910606" w14:textId="77777777" w:rsidR="0045548B" w:rsidRPr="00787CD0" w:rsidRDefault="0045548B" w:rsidP="0045548B">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9D73B0" w:rsidRDefault="00CD4910" w:rsidP="008611B1">
            <w:pPr>
              <w:spacing w:line="240" w:lineRule="auto"/>
              <w:rPr>
                <w:rFonts w:cs="Arial"/>
                <w:color w:val="FF0000"/>
                <w:sz w:val="18"/>
                <w:szCs w:val="18"/>
                <w:lang w:val="en-US"/>
              </w:rPr>
            </w:pPr>
            <w:r>
              <w:rPr>
                <w:rFonts w:cs="Arial"/>
                <w:sz w:val="18"/>
                <w:szCs w:val="18"/>
              </w:rPr>
              <w:t>Tiimisaavutus: GF Building Flow Solutionsin Apple Valleyn tuotantolaitos on saavuttanut hiilineutraaliuden.</w:t>
            </w:r>
            <w:r>
              <w:rPr>
                <w:rFonts w:cs="Arial"/>
                <w:b/>
                <w:sz w:val="20"/>
              </w:rPr>
              <w:t xml:space="preserve"> </w:t>
            </w:r>
            <w:r>
              <w:br/>
            </w:r>
          </w:p>
          <w:p w14:paraId="301274D0" w14:textId="77777777" w:rsidR="00CD4910" w:rsidRDefault="00CD4910" w:rsidP="008611B1">
            <w:pPr>
              <w:spacing w:line="240" w:lineRule="auto"/>
              <w:rPr>
                <w:rFonts w:cs="Arial"/>
                <w:sz w:val="20"/>
                <w:lang w:val="en-US"/>
              </w:rPr>
            </w:pPr>
          </w:p>
          <w:p w14:paraId="1D36BFD3" w14:textId="77777777" w:rsidR="00CD4910" w:rsidRDefault="00CD4910" w:rsidP="008611B1">
            <w:pPr>
              <w:spacing w:line="240" w:lineRule="auto"/>
              <w:rPr>
                <w:rFonts w:cs="Arial"/>
                <w:sz w:val="20"/>
                <w:lang w:val="en-US"/>
              </w:rPr>
            </w:pPr>
          </w:p>
          <w:p w14:paraId="5869C11E" w14:textId="77777777" w:rsidR="00CD4910" w:rsidRDefault="00CD4910" w:rsidP="008611B1">
            <w:pPr>
              <w:spacing w:line="240" w:lineRule="auto"/>
              <w:rPr>
                <w:rFonts w:cs="Arial"/>
                <w:sz w:val="20"/>
                <w:lang w:val="en-US"/>
              </w:rPr>
            </w:pPr>
          </w:p>
          <w:p w14:paraId="6C226FF7" w14:textId="77777777" w:rsidR="00CD4910" w:rsidRDefault="00CD4910" w:rsidP="008611B1">
            <w:pPr>
              <w:spacing w:line="240" w:lineRule="auto"/>
              <w:rPr>
                <w:rFonts w:cs="Arial"/>
                <w:sz w:val="20"/>
                <w:lang w:val="en-US"/>
              </w:rPr>
            </w:pPr>
          </w:p>
          <w:p w14:paraId="0BA4ADC4" w14:textId="2BBF6C79" w:rsidR="00CD4910" w:rsidRDefault="00CD4910" w:rsidP="008611B1">
            <w:pPr>
              <w:spacing w:line="240" w:lineRule="auto"/>
              <w:rPr>
                <w:rFonts w:cs="Arial"/>
                <w:sz w:val="20"/>
                <w:lang w:val="en-US"/>
              </w:rPr>
            </w:pPr>
          </w:p>
          <w:p w14:paraId="47AAF08D" w14:textId="77777777" w:rsidR="00CD4910" w:rsidRDefault="00CD4910" w:rsidP="008611B1">
            <w:pPr>
              <w:spacing w:line="240" w:lineRule="auto"/>
              <w:rPr>
                <w:rFonts w:cs="Arial"/>
                <w:sz w:val="20"/>
                <w:lang w:val="en-US"/>
              </w:rPr>
            </w:pPr>
          </w:p>
          <w:p w14:paraId="03DB29DC" w14:textId="77777777" w:rsidR="00CD4910" w:rsidRPr="007E167B" w:rsidRDefault="00CD4910" w:rsidP="008611B1">
            <w:pPr>
              <w:spacing w:line="240" w:lineRule="auto"/>
              <w:rPr>
                <w:rFonts w:cs="Arial"/>
                <w:sz w:val="20"/>
                <w:lang w:val="en-US"/>
              </w:rPr>
            </w:pPr>
            <w:r>
              <w:rPr>
                <w:rFonts w:cs="Arial"/>
                <w:b/>
                <w:sz w:val="18"/>
                <w:szCs w:val="18"/>
              </w:rPr>
              <w:t xml:space="preserve">Lähde: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1"/>
      <w:footerReference w:type="default" r:id="rId22"/>
      <w:head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48B"/>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21A6"/>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29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41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33EB"/>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i-FI" w:eastAsia="fi-FI" w:bidi="fi-FI"/>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3.jpeg"/><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761</Words>
  <Characters>8064</Characters>
  <Application>Microsoft Office Word</Application>
  <DocSecurity>0</DocSecurity>
  <Lines>67</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4</cp:revision>
  <cp:lastPrinted>2018-02-27T15:02:00Z</cp:lastPrinted>
  <dcterms:created xsi:type="dcterms:W3CDTF">2025-04-11T16:39:00Z</dcterms:created>
  <dcterms:modified xsi:type="dcterms:W3CDTF">2025-04-15T14:59:00Z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