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FF2" w14:textId="385E2718" w:rsidR="00294885" w:rsidRPr="00C73E83" w:rsidRDefault="007F2E10" w:rsidP="00294885">
      <w:pPr>
        <w:pStyle w:val="Heading2"/>
        <w:ind w:right="-360"/>
        <w:jc w:val="right"/>
        <w:rPr>
          <w:rFonts w:ascii="Arial" w:hAnsi="Arial" w:cs="Arial"/>
          <w:sz w:val="20"/>
          <w:lang w:val="fr-CA"/>
        </w:rPr>
      </w:pPr>
      <w:r w:rsidRPr="00C73E83">
        <w:rPr>
          <w:noProof/>
          <w:lang w:val="fr-CA"/>
        </w:rPr>
        <w:drawing>
          <wp:anchor distT="0" distB="0" distL="0" distR="0" simplePos="0" relativeHeight="251658240" behindDoc="0" locked="0" layoutInCell="1" allowOverlap="1" wp14:anchorId="39A39A3F" wp14:editId="60CE1BA9">
            <wp:simplePos x="0" y="0"/>
            <wp:positionH relativeFrom="margin">
              <wp:posOffset>4598670</wp:posOffset>
            </wp:positionH>
            <wp:positionV relativeFrom="margin">
              <wp:posOffset>0</wp:posOffset>
            </wp:positionV>
            <wp:extent cx="1343660" cy="38481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47ABAC40" w14:textId="3B4315E3" w:rsidR="00294885" w:rsidRPr="00C73E83" w:rsidRDefault="00655AC9" w:rsidP="00294885">
      <w:pPr>
        <w:jc w:val="right"/>
        <w:rPr>
          <w:rFonts w:ascii="Arial" w:hAnsi="Arial" w:cs="Arial"/>
          <w:lang w:val="fr-CA"/>
        </w:rPr>
      </w:pPr>
      <w:r w:rsidRPr="00C73E83">
        <w:rPr>
          <w:rFonts w:ascii="Arial" w:hAnsi="Arial" w:cs="Arial"/>
          <w:lang w:val="fr-CA"/>
        </w:rPr>
        <w:t>GF Building Flow Solutions</w:t>
      </w:r>
    </w:p>
    <w:p w14:paraId="1FFBFE53" w14:textId="7329A865" w:rsidR="00294885" w:rsidRPr="00C73E83" w:rsidRDefault="007F2E10" w:rsidP="008E0E6A">
      <w:pPr>
        <w:jc w:val="right"/>
        <w:rPr>
          <w:rFonts w:ascii="Arial" w:hAnsi="Arial" w:cs="Arial"/>
          <w:lang w:val="fr-CA"/>
        </w:rPr>
      </w:pPr>
      <w:r w:rsidRPr="00C73E83">
        <w:rPr>
          <w:noProof/>
          <w:lang w:val="fr-CA"/>
        </w:rPr>
        <w:drawing>
          <wp:anchor distT="0" distB="0" distL="114300" distR="114300" simplePos="0" relativeHeight="251658241" behindDoc="0" locked="1" layoutInCell="1" allowOverlap="0" wp14:anchorId="54612785" wp14:editId="31889D24">
            <wp:simplePos x="0" y="0"/>
            <wp:positionH relativeFrom="margin">
              <wp:posOffset>0</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8E0E6A" w:rsidRPr="00C73E83">
        <w:rPr>
          <w:rFonts w:ascii="Arial" w:hAnsi="Arial" w:cs="Arial"/>
          <w:lang w:val="fr-CA"/>
        </w:rPr>
        <w:t>6510 Kennedy Road</w:t>
      </w:r>
    </w:p>
    <w:p w14:paraId="21587F49" w14:textId="77777777" w:rsidR="00294885" w:rsidRPr="00C73E83" w:rsidRDefault="00294885" w:rsidP="00294885">
      <w:pPr>
        <w:jc w:val="right"/>
        <w:rPr>
          <w:rFonts w:ascii="Arial" w:hAnsi="Arial" w:cs="Arial"/>
          <w:lang w:val="fr-CA"/>
        </w:rPr>
      </w:pPr>
      <w:r w:rsidRPr="00C73E83">
        <w:rPr>
          <w:rFonts w:ascii="Arial" w:hAnsi="Arial" w:cs="Arial"/>
          <w:lang w:val="fr-CA"/>
        </w:rPr>
        <w:t>Mississauga, ON L5</w:t>
      </w:r>
      <w:r w:rsidR="008E0E6A" w:rsidRPr="00C73E83">
        <w:rPr>
          <w:rFonts w:ascii="Arial" w:hAnsi="Arial" w:cs="Arial"/>
          <w:lang w:val="fr-CA"/>
        </w:rPr>
        <w:t>T</w:t>
      </w:r>
      <w:r w:rsidRPr="00C73E83">
        <w:rPr>
          <w:rFonts w:ascii="Arial" w:hAnsi="Arial" w:cs="Arial"/>
          <w:lang w:val="fr-CA"/>
        </w:rPr>
        <w:t xml:space="preserve"> </w:t>
      </w:r>
      <w:r w:rsidR="008E0E6A" w:rsidRPr="00C73E83">
        <w:rPr>
          <w:rFonts w:ascii="Arial" w:hAnsi="Arial" w:cs="Arial"/>
          <w:lang w:val="fr-CA"/>
        </w:rPr>
        <w:t>2X4</w:t>
      </w:r>
    </w:p>
    <w:p w14:paraId="3BD7E3B0" w14:textId="0578A3DA" w:rsidR="00294885" w:rsidRPr="00C73E83" w:rsidRDefault="00294885" w:rsidP="00631041">
      <w:pPr>
        <w:jc w:val="right"/>
        <w:rPr>
          <w:rFonts w:ascii="Arial" w:hAnsi="Arial" w:cs="Arial"/>
          <w:lang w:val="fr-CA"/>
        </w:rPr>
      </w:pPr>
      <w:r w:rsidRPr="00C73E83">
        <w:rPr>
          <w:rFonts w:ascii="Arial" w:hAnsi="Arial" w:cs="Arial"/>
          <w:lang w:val="fr-CA"/>
        </w:rPr>
        <w:t>888</w:t>
      </w:r>
      <w:r w:rsidR="00631041" w:rsidRPr="00C73E83">
        <w:rPr>
          <w:rFonts w:ascii="Arial" w:hAnsi="Arial" w:cs="Arial"/>
          <w:lang w:val="fr-CA"/>
        </w:rPr>
        <w:t xml:space="preserve"> </w:t>
      </w:r>
      <w:r w:rsidRPr="00C73E83">
        <w:rPr>
          <w:rFonts w:ascii="Arial" w:hAnsi="Arial" w:cs="Arial"/>
          <w:lang w:val="fr-CA"/>
        </w:rPr>
        <w:t>994</w:t>
      </w:r>
      <w:r w:rsidR="00631041" w:rsidRPr="00C73E83">
        <w:rPr>
          <w:rFonts w:ascii="Arial" w:hAnsi="Arial" w:cs="Arial"/>
          <w:lang w:val="fr-CA"/>
        </w:rPr>
        <w:t xml:space="preserve"> </w:t>
      </w:r>
      <w:r w:rsidRPr="00C73E83">
        <w:rPr>
          <w:rFonts w:ascii="Arial" w:hAnsi="Arial" w:cs="Arial"/>
          <w:lang w:val="fr-CA"/>
        </w:rPr>
        <w:t>7726</w:t>
      </w:r>
    </w:p>
    <w:p w14:paraId="2D885179" w14:textId="6A064E23" w:rsidR="00631041" w:rsidRPr="00C73E83" w:rsidRDefault="00631041" w:rsidP="00631041">
      <w:pPr>
        <w:jc w:val="right"/>
        <w:rPr>
          <w:rFonts w:ascii="Arial" w:hAnsi="Arial" w:cs="Arial"/>
          <w:lang w:val="fr-CA"/>
        </w:rPr>
      </w:pPr>
      <w:hyperlink r:id="rId14" w:history="1">
        <w:r w:rsidRPr="00C73E83">
          <w:rPr>
            <w:rStyle w:val="Hyperlink"/>
            <w:rFonts w:ascii="Arial" w:hAnsi="Arial" w:cs="Arial"/>
            <w:lang w:val="fr-CA"/>
          </w:rPr>
          <w:t>www.uponor.com</w:t>
        </w:r>
      </w:hyperlink>
    </w:p>
    <w:p w14:paraId="64469E58" w14:textId="77777777" w:rsidR="00294885" w:rsidRPr="00C73E83" w:rsidRDefault="00294885" w:rsidP="00294885">
      <w:pPr>
        <w:jc w:val="right"/>
        <w:rPr>
          <w:rFonts w:ascii="Arial" w:hAnsi="Arial" w:cs="Arial"/>
          <w:lang w:val="fr-CA"/>
        </w:rPr>
      </w:pPr>
    </w:p>
    <w:p w14:paraId="043573C8" w14:textId="77777777" w:rsidR="00876525" w:rsidRPr="00C73E83" w:rsidRDefault="00322A6D">
      <w:pPr>
        <w:pStyle w:val="Heading2"/>
        <w:jc w:val="center"/>
        <w:rPr>
          <w:rFonts w:ascii="Arial" w:hAnsi="Arial" w:cs="Arial"/>
          <w:sz w:val="20"/>
          <w:lang w:val="fr-CA"/>
        </w:rPr>
      </w:pPr>
      <w:r w:rsidRPr="00C73E83">
        <w:rPr>
          <w:rFonts w:ascii="Arial" w:hAnsi="Arial" w:cs="Arial"/>
          <w:sz w:val="20"/>
          <w:lang w:val="fr-CA"/>
        </w:rPr>
        <w:t>Section 22 11 16</w:t>
      </w:r>
    </w:p>
    <w:p w14:paraId="11A78305" w14:textId="77777777" w:rsidR="00876525" w:rsidRPr="00C73E83" w:rsidRDefault="00876525">
      <w:pPr>
        <w:rPr>
          <w:rFonts w:ascii="Arial" w:hAnsi="Arial" w:cs="Arial"/>
          <w:lang w:val="fr-CA"/>
        </w:rPr>
      </w:pPr>
    </w:p>
    <w:p w14:paraId="609710E5" w14:textId="77777777" w:rsidR="00263F49" w:rsidRPr="00C73E83" w:rsidRDefault="00263F49" w:rsidP="00263F49">
      <w:pPr>
        <w:pStyle w:val="Heading3"/>
        <w:rPr>
          <w:rFonts w:ascii="Arial" w:hAnsi="Arial" w:cs="Arial"/>
          <w:sz w:val="20"/>
          <w:lang w:val="fr-CA"/>
        </w:rPr>
      </w:pPr>
      <w:r w:rsidRPr="00C73E83">
        <w:rPr>
          <w:rFonts w:ascii="Arial" w:hAnsi="Arial" w:cs="Arial"/>
          <w:sz w:val="20"/>
          <w:lang w:val="fr-CA"/>
        </w:rPr>
        <w:t>TUYAUTERIE POUR DISTRIBUTION D’EAU POTABLE</w:t>
      </w:r>
    </w:p>
    <w:p w14:paraId="34FBBD64" w14:textId="77777777" w:rsidR="00876525" w:rsidRPr="00C73E83" w:rsidRDefault="00876525">
      <w:pPr>
        <w:rPr>
          <w:rFonts w:ascii="Arial" w:hAnsi="Arial" w:cs="Arial"/>
          <w:lang w:val="fr-CA"/>
        </w:rPr>
      </w:pPr>
    </w:p>
    <w:p w14:paraId="389D7640" w14:textId="12C1466E" w:rsidR="00876525" w:rsidRPr="003712A9" w:rsidRDefault="00A66B7C" w:rsidP="003712A9">
      <w:pPr>
        <w:numPr>
          <w:ilvl w:val="0"/>
          <w:numId w:val="2"/>
        </w:numPr>
        <w:ind w:left="0" w:firstLine="0"/>
        <w:rPr>
          <w:rFonts w:ascii="Arial" w:hAnsi="Arial" w:cs="Arial"/>
          <w:b/>
        </w:rPr>
      </w:pPr>
      <w:r w:rsidRPr="00DD563B">
        <w:rPr>
          <w:rFonts w:ascii="Arial" w:hAnsi="Arial" w:cs="Arial"/>
          <w:b/>
          <w:lang w:val="fr-CA"/>
        </w:rPr>
        <w:t>GÉNÉRAL</w:t>
      </w:r>
    </w:p>
    <w:p w14:paraId="0BCE55B0" w14:textId="77777777" w:rsidR="008E0E6A" w:rsidRPr="00C73E83" w:rsidRDefault="008E0E6A" w:rsidP="008E0E6A">
      <w:pPr>
        <w:rPr>
          <w:rFonts w:ascii="Arial" w:hAnsi="Arial" w:cs="Arial"/>
          <w:b/>
          <w:lang w:val="fr-CA"/>
        </w:rPr>
      </w:pPr>
    </w:p>
    <w:p w14:paraId="165CB17C" w14:textId="455B9074" w:rsidR="00811138" w:rsidRPr="00C73E83" w:rsidRDefault="00263F49" w:rsidP="00811138">
      <w:pPr>
        <w:numPr>
          <w:ilvl w:val="1"/>
          <w:numId w:val="2"/>
        </w:numPr>
        <w:spacing w:after="240"/>
        <w:ind w:left="0" w:firstLine="0"/>
        <w:rPr>
          <w:rFonts w:ascii="Arial" w:hAnsi="Arial" w:cs="Arial"/>
          <w:b/>
          <w:lang w:val="fr-CA"/>
        </w:rPr>
      </w:pPr>
      <w:r w:rsidRPr="00C73E83">
        <w:rPr>
          <w:rFonts w:ascii="Arial" w:hAnsi="Arial" w:cs="Arial"/>
          <w:b/>
          <w:lang w:val="fr-CA"/>
        </w:rPr>
        <w:t>PORTÉE DE LA SECTION</w:t>
      </w:r>
    </w:p>
    <w:p w14:paraId="48920750" w14:textId="492D30EB" w:rsidR="008E0E6A" w:rsidRPr="00C73E83" w:rsidRDefault="00263F49" w:rsidP="008E0E6A">
      <w:pPr>
        <w:numPr>
          <w:ilvl w:val="2"/>
          <w:numId w:val="2"/>
        </w:numPr>
        <w:rPr>
          <w:rFonts w:ascii="Arial" w:hAnsi="Arial" w:cs="Arial"/>
          <w:bCs/>
          <w:lang w:val="fr-CA"/>
        </w:rPr>
      </w:pPr>
      <w:r w:rsidRPr="00C73E83">
        <w:rPr>
          <w:rFonts w:ascii="Arial" w:hAnsi="Arial" w:cs="Arial"/>
          <w:bCs/>
          <w:lang w:val="fr-CA"/>
        </w:rPr>
        <w:t xml:space="preserve">Tuyaux et raccords </w:t>
      </w:r>
      <w:r w:rsidR="00FB3DA6" w:rsidRPr="00C73E83">
        <w:rPr>
          <w:rFonts w:ascii="Arial" w:hAnsi="Arial" w:cs="Arial"/>
          <w:bCs/>
          <w:lang w:val="fr-CA"/>
        </w:rPr>
        <w:t>de distribution d’eau potable</w:t>
      </w:r>
      <w:r w:rsidR="004E2C15" w:rsidRPr="00C73E83">
        <w:rPr>
          <w:rFonts w:ascii="Arial" w:hAnsi="Arial" w:cs="Arial"/>
          <w:bCs/>
          <w:lang w:val="fr-CA"/>
        </w:rPr>
        <w:t xml:space="preserve"> </w:t>
      </w:r>
      <w:r w:rsidR="00FB3DA6" w:rsidRPr="00C73E83">
        <w:rPr>
          <w:rFonts w:ascii="Arial" w:hAnsi="Arial" w:cs="Arial"/>
          <w:bCs/>
          <w:lang w:val="fr-CA"/>
        </w:rPr>
        <w:t xml:space="preserve">pour les applications suivantes </w:t>
      </w:r>
      <w:r w:rsidR="004E2C15" w:rsidRPr="00C73E83">
        <w:rPr>
          <w:rFonts w:ascii="Arial" w:hAnsi="Arial" w:cs="Arial"/>
          <w:bCs/>
          <w:lang w:val="fr-CA"/>
        </w:rPr>
        <w:t>:</w:t>
      </w:r>
    </w:p>
    <w:p w14:paraId="3A0AEEF9" w14:textId="101CB0D0" w:rsidR="001C0372" w:rsidRPr="00C73E83" w:rsidRDefault="00FB3DA6" w:rsidP="001C0372">
      <w:pPr>
        <w:numPr>
          <w:ilvl w:val="3"/>
          <w:numId w:val="2"/>
        </w:numPr>
        <w:rPr>
          <w:rFonts w:ascii="Arial" w:hAnsi="Arial" w:cs="Arial"/>
          <w:bCs/>
          <w:lang w:val="fr-CA"/>
        </w:rPr>
      </w:pPr>
      <w:r w:rsidRPr="00C73E83">
        <w:rPr>
          <w:rFonts w:ascii="Arial" w:hAnsi="Arial" w:cs="Arial"/>
          <w:bCs/>
          <w:lang w:val="fr-CA"/>
        </w:rPr>
        <w:t xml:space="preserve">Réseaux domestiques d’eau froide </w:t>
      </w:r>
    </w:p>
    <w:p w14:paraId="507EA790" w14:textId="65E157DF" w:rsidR="001C0372" w:rsidRPr="00C73E83" w:rsidRDefault="00FB3DA6" w:rsidP="001C0372">
      <w:pPr>
        <w:numPr>
          <w:ilvl w:val="3"/>
          <w:numId w:val="2"/>
        </w:numPr>
        <w:rPr>
          <w:rFonts w:ascii="Arial" w:hAnsi="Arial" w:cs="Arial"/>
          <w:bCs/>
          <w:lang w:val="fr-CA"/>
        </w:rPr>
      </w:pPr>
      <w:r w:rsidRPr="00C73E83">
        <w:rPr>
          <w:rFonts w:ascii="Arial" w:hAnsi="Arial" w:cs="Arial"/>
          <w:bCs/>
          <w:lang w:val="fr-CA"/>
        </w:rPr>
        <w:t xml:space="preserve">Réseaux domestiques d’eau chaude </w:t>
      </w:r>
    </w:p>
    <w:p w14:paraId="6682096B" w14:textId="4420B190" w:rsidR="007F1533" w:rsidRPr="00C73E83" w:rsidRDefault="00FB3DA6" w:rsidP="007032AB">
      <w:pPr>
        <w:numPr>
          <w:ilvl w:val="3"/>
          <w:numId w:val="2"/>
        </w:numPr>
        <w:spacing w:after="240"/>
        <w:rPr>
          <w:rFonts w:ascii="Arial" w:hAnsi="Arial" w:cs="Arial"/>
          <w:bCs/>
          <w:lang w:val="fr-CA"/>
        </w:rPr>
      </w:pPr>
      <w:r w:rsidRPr="00C73E83">
        <w:rPr>
          <w:rFonts w:ascii="Arial" w:hAnsi="Arial" w:cs="Arial"/>
          <w:bCs/>
          <w:lang w:val="fr-CA"/>
        </w:rPr>
        <w:t>Réseaux domestiques de recirculation d’eau chaude</w:t>
      </w:r>
    </w:p>
    <w:p w14:paraId="0C9E0AC5" w14:textId="5E3A1527" w:rsidR="007F1533" w:rsidRPr="00C73E83" w:rsidRDefault="00263F49" w:rsidP="007F1533">
      <w:pPr>
        <w:numPr>
          <w:ilvl w:val="1"/>
          <w:numId w:val="2"/>
        </w:numPr>
        <w:spacing w:after="240"/>
        <w:ind w:left="0" w:firstLine="0"/>
        <w:rPr>
          <w:rFonts w:ascii="Arial" w:hAnsi="Arial" w:cs="Arial"/>
          <w:bCs/>
          <w:lang w:val="fr-CA"/>
        </w:rPr>
      </w:pPr>
      <w:r w:rsidRPr="00C73E83">
        <w:rPr>
          <w:rFonts w:ascii="Arial" w:hAnsi="Arial" w:cs="Arial"/>
          <w:b/>
          <w:lang w:val="fr-CA"/>
        </w:rPr>
        <w:t>SECTIONS</w:t>
      </w:r>
      <w:r w:rsidR="007032AB" w:rsidRPr="00C73E83">
        <w:rPr>
          <w:rFonts w:ascii="Arial" w:hAnsi="Arial" w:cs="Arial"/>
          <w:b/>
          <w:lang w:val="fr-CA"/>
        </w:rPr>
        <w:t xml:space="preserve"> </w:t>
      </w:r>
      <w:r w:rsidRPr="00C73E83">
        <w:rPr>
          <w:rFonts w:ascii="Arial" w:hAnsi="Arial" w:cs="Arial"/>
          <w:b/>
          <w:lang w:val="fr-CA"/>
        </w:rPr>
        <w:t>CONNEXES</w:t>
      </w:r>
    </w:p>
    <w:p w14:paraId="21456992" w14:textId="0B63E2CC" w:rsidR="00675EB8" w:rsidRPr="00C73E83" w:rsidRDefault="00675EB8" w:rsidP="00FB3DA6">
      <w:pPr>
        <w:numPr>
          <w:ilvl w:val="2"/>
          <w:numId w:val="2"/>
        </w:numPr>
        <w:rPr>
          <w:rFonts w:ascii="Arial" w:hAnsi="Arial" w:cs="Arial"/>
          <w:bCs/>
          <w:lang w:val="fr-CA"/>
        </w:rPr>
      </w:pPr>
      <w:r w:rsidRPr="00C73E83">
        <w:rPr>
          <w:rFonts w:ascii="Arial" w:hAnsi="Arial" w:cs="Arial"/>
          <w:bCs/>
          <w:lang w:val="fr-CA"/>
        </w:rPr>
        <w:t xml:space="preserve">Section 22 11 13 – </w:t>
      </w:r>
      <w:r w:rsidR="00FB3DA6" w:rsidRPr="00C73E83">
        <w:rPr>
          <w:rFonts w:ascii="Arial" w:hAnsi="Arial" w:cs="Arial"/>
          <w:bCs/>
          <w:lang w:val="fr-FR"/>
        </w:rPr>
        <w:t>Réseaux de distribution d'eau pour installations</w:t>
      </w:r>
    </w:p>
    <w:p w14:paraId="4A8B0753" w14:textId="6C3F8589" w:rsidR="00FB3DA6" w:rsidRPr="00C73E83" w:rsidRDefault="00675EB8" w:rsidP="00675EB8">
      <w:pPr>
        <w:numPr>
          <w:ilvl w:val="2"/>
          <w:numId w:val="2"/>
        </w:numPr>
        <w:rPr>
          <w:rFonts w:ascii="Arial" w:hAnsi="Arial" w:cs="Arial"/>
          <w:bCs/>
          <w:lang w:val="fr-CA"/>
        </w:rPr>
      </w:pPr>
      <w:r w:rsidRPr="00C73E83">
        <w:rPr>
          <w:rFonts w:ascii="Arial" w:hAnsi="Arial" w:cs="Arial"/>
          <w:bCs/>
          <w:lang w:val="fr-CA"/>
        </w:rPr>
        <w:t xml:space="preserve">Section 22 07 19 – </w:t>
      </w:r>
      <w:r w:rsidR="00FB3DA6" w:rsidRPr="00C73E83">
        <w:rPr>
          <w:rFonts w:ascii="Arial" w:hAnsi="Arial" w:cs="Arial"/>
          <w:bCs/>
          <w:lang w:val="fr-FR"/>
        </w:rPr>
        <w:t>Isolation des tuyaux de plomberie</w:t>
      </w:r>
    </w:p>
    <w:p w14:paraId="4C0211B4" w14:textId="450A7331" w:rsidR="00FB3DA6" w:rsidRPr="00C73E83" w:rsidRDefault="00B9126F" w:rsidP="00675EB8">
      <w:pPr>
        <w:numPr>
          <w:ilvl w:val="2"/>
          <w:numId w:val="2"/>
        </w:numPr>
        <w:rPr>
          <w:rFonts w:ascii="Arial" w:hAnsi="Arial" w:cs="Arial"/>
          <w:bCs/>
          <w:lang w:val="fr-CA"/>
        </w:rPr>
      </w:pPr>
      <w:r w:rsidRPr="00C73E83">
        <w:rPr>
          <w:rFonts w:ascii="Arial" w:hAnsi="Arial" w:cs="Arial"/>
          <w:bCs/>
          <w:lang w:val="fr-CA"/>
        </w:rPr>
        <w:t xml:space="preserve">Section 22 05 23 – </w:t>
      </w:r>
      <w:r w:rsidR="00FB3DA6" w:rsidRPr="00C73E83">
        <w:rPr>
          <w:rFonts w:ascii="Arial" w:hAnsi="Arial" w:cs="Arial"/>
          <w:bCs/>
          <w:lang w:val="fr-FR"/>
        </w:rPr>
        <w:t>Robinets d’usage général pour réseaux de plomberie</w:t>
      </w:r>
    </w:p>
    <w:p w14:paraId="58F86C35" w14:textId="7793E486" w:rsidR="00FB3DA6" w:rsidRPr="00C73E83" w:rsidRDefault="00675EB8" w:rsidP="00614BE4">
      <w:pPr>
        <w:numPr>
          <w:ilvl w:val="2"/>
          <w:numId w:val="2"/>
        </w:numPr>
        <w:spacing w:after="240"/>
        <w:rPr>
          <w:rFonts w:ascii="Arial" w:hAnsi="Arial" w:cs="Arial"/>
          <w:bCs/>
          <w:lang w:val="fr-CA"/>
        </w:rPr>
      </w:pPr>
      <w:r w:rsidRPr="00C73E83">
        <w:rPr>
          <w:rFonts w:ascii="Arial" w:hAnsi="Arial" w:cs="Arial"/>
          <w:bCs/>
          <w:lang w:val="fr-CA"/>
        </w:rPr>
        <w:t xml:space="preserve">Section 22 05 29 – </w:t>
      </w:r>
      <w:r w:rsidR="00FB3DA6" w:rsidRPr="00C73E83">
        <w:rPr>
          <w:rFonts w:ascii="Arial" w:hAnsi="Arial" w:cs="Arial"/>
          <w:bCs/>
          <w:lang w:val="fr-FR"/>
        </w:rPr>
        <w:t>Supports et fixations pour tuyaux et équipements de plomberie</w:t>
      </w:r>
    </w:p>
    <w:p w14:paraId="04283488" w14:textId="2F40192B" w:rsidR="00876525" w:rsidRPr="00C73E83" w:rsidRDefault="00876525" w:rsidP="00F44C56">
      <w:pPr>
        <w:numPr>
          <w:ilvl w:val="1"/>
          <w:numId w:val="2"/>
        </w:numPr>
        <w:spacing w:after="240"/>
        <w:ind w:left="0" w:firstLine="0"/>
        <w:rPr>
          <w:rFonts w:ascii="Arial" w:hAnsi="Arial" w:cs="Arial"/>
          <w:lang w:val="fr-CA"/>
        </w:rPr>
      </w:pPr>
      <w:r w:rsidRPr="00C73E83">
        <w:rPr>
          <w:rFonts w:ascii="Arial" w:hAnsi="Arial" w:cs="Arial"/>
          <w:b/>
          <w:lang w:val="fr-CA"/>
        </w:rPr>
        <w:t>R</w:t>
      </w:r>
      <w:r w:rsidR="00263F49" w:rsidRPr="00C73E83">
        <w:rPr>
          <w:rFonts w:ascii="Arial" w:hAnsi="Arial" w:cs="Arial"/>
          <w:b/>
          <w:lang w:val="fr-CA"/>
        </w:rPr>
        <w:t>É</w:t>
      </w:r>
      <w:r w:rsidRPr="00C73E83">
        <w:rPr>
          <w:rFonts w:ascii="Arial" w:hAnsi="Arial" w:cs="Arial"/>
          <w:b/>
          <w:lang w:val="fr-CA"/>
        </w:rPr>
        <w:t>F</w:t>
      </w:r>
      <w:r w:rsidR="00263F49" w:rsidRPr="00C73E83">
        <w:rPr>
          <w:rFonts w:ascii="Arial" w:hAnsi="Arial" w:cs="Arial"/>
          <w:b/>
          <w:lang w:val="fr-CA"/>
        </w:rPr>
        <w:t>É</w:t>
      </w:r>
      <w:r w:rsidRPr="00C73E83">
        <w:rPr>
          <w:rFonts w:ascii="Arial" w:hAnsi="Arial" w:cs="Arial"/>
          <w:b/>
          <w:lang w:val="fr-CA"/>
        </w:rPr>
        <w:t>RENCES</w:t>
      </w:r>
    </w:p>
    <w:p w14:paraId="006BBBA5" w14:textId="4A807EFF" w:rsidR="00FB3DA6" w:rsidRPr="00E21061" w:rsidRDefault="00FB3DA6" w:rsidP="00E21061">
      <w:pPr>
        <w:numPr>
          <w:ilvl w:val="2"/>
          <w:numId w:val="2"/>
        </w:numPr>
        <w:rPr>
          <w:rFonts w:ascii="Arial" w:hAnsi="Arial" w:cs="Arial"/>
          <w:bCs/>
          <w:lang w:val="fr-CA"/>
        </w:rPr>
      </w:pPr>
      <w:r w:rsidRPr="00E21061">
        <w:rPr>
          <w:rFonts w:ascii="Arial" w:hAnsi="Arial" w:cs="Arial"/>
          <w:bCs/>
          <w:lang w:val="fr-CA"/>
        </w:rPr>
        <w:t>Général : Les normes présentées pour référence, y compris les révisions effectuées par l’organisme normatif, forment une partie de cette section, dans la mesure indiquée. Les normes sont identifiées selon l’organisme normatif, l’abréviation de cet organisme, la désignation, le titre ou toute autre identification établie par l’organisme normatif. Par la suite, les normes identifiées ci-après seront identifiées par l’abréviation de l’organisme et la désignation de la norme.</w:t>
      </w:r>
    </w:p>
    <w:p w14:paraId="400A60FD" w14:textId="6BE6ABFF" w:rsidR="00FB3DA6" w:rsidRPr="00E21061" w:rsidRDefault="00FB3DA6" w:rsidP="00E21061">
      <w:pPr>
        <w:numPr>
          <w:ilvl w:val="2"/>
          <w:numId w:val="2"/>
        </w:numPr>
        <w:rPr>
          <w:rFonts w:ascii="Arial" w:hAnsi="Arial" w:cs="Arial"/>
          <w:bCs/>
          <w:lang w:val="fr-CA"/>
        </w:rPr>
      </w:pPr>
      <w:r w:rsidRPr="00E21061">
        <w:rPr>
          <w:rFonts w:ascii="Arial" w:hAnsi="Arial" w:cs="Arial"/>
          <w:bCs/>
          <w:lang w:val="fr-CA"/>
        </w:rPr>
        <w:t xml:space="preserve">American Society for </w:t>
      </w:r>
      <w:proofErr w:type="spellStart"/>
      <w:r w:rsidRPr="00E21061">
        <w:rPr>
          <w:rFonts w:ascii="Arial" w:hAnsi="Arial" w:cs="Arial"/>
          <w:bCs/>
          <w:lang w:val="fr-CA"/>
        </w:rPr>
        <w:t>Testing</w:t>
      </w:r>
      <w:proofErr w:type="spellEnd"/>
      <w:r w:rsidRPr="00E21061">
        <w:rPr>
          <w:rFonts w:ascii="Arial" w:hAnsi="Arial" w:cs="Arial"/>
          <w:bCs/>
          <w:lang w:val="fr-CA"/>
        </w:rPr>
        <w:t xml:space="preserve"> and Materials (ASTM) :</w:t>
      </w:r>
    </w:p>
    <w:p w14:paraId="69379EA7" w14:textId="62825B43" w:rsidR="00FB3DA6" w:rsidRPr="00E21061" w:rsidRDefault="00FB3DA6" w:rsidP="00E21061">
      <w:pPr>
        <w:numPr>
          <w:ilvl w:val="3"/>
          <w:numId w:val="2"/>
        </w:numPr>
        <w:rPr>
          <w:rFonts w:ascii="Arial" w:hAnsi="Arial" w:cs="Arial"/>
          <w:bCs/>
          <w:lang w:val="fr-CA"/>
        </w:rPr>
      </w:pPr>
      <w:r w:rsidRPr="00E21061">
        <w:rPr>
          <w:rFonts w:ascii="Arial" w:hAnsi="Arial" w:cs="Arial"/>
          <w:bCs/>
          <w:lang w:val="fr-CA"/>
        </w:rPr>
        <w:t xml:space="preserve">Norme ASTM F876 : Spécification de la tuyauterie en polyéthylène réticulé (PEX) </w:t>
      </w:r>
    </w:p>
    <w:p w14:paraId="29AC8A46" w14:textId="2508967C" w:rsidR="00FB3DA6" w:rsidRPr="00E21061" w:rsidRDefault="00FB3DA6" w:rsidP="00E21061">
      <w:pPr>
        <w:numPr>
          <w:ilvl w:val="3"/>
          <w:numId w:val="2"/>
        </w:numPr>
        <w:rPr>
          <w:rFonts w:ascii="Arial" w:hAnsi="Arial" w:cs="Arial"/>
          <w:bCs/>
          <w:lang w:val="fr-CA"/>
        </w:rPr>
      </w:pPr>
      <w:r w:rsidRPr="00E21061">
        <w:rPr>
          <w:rFonts w:ascii="Arial" w:hAnsi="Arial" w:cs="Arial"/>
          <w:bCs/>
          <w:lang w:val="fr-CA"/>
        </w:rPr>
        <w:t>Norme ASTM F877 : Spécification des réseaux de distribution d’eau chaude et froide en plastique de polyéthylène réticulé (PEX)</w:t>
      </w:r>
    </w:p>
    <w:p w14:paraId="5B4169D5" w14:textId="30034C74" w:rsidR="00FB3DA6" w:rsidRPr="00E21061" w:rsidRDefault="00FB3DA6" w:rsidP="00E21061">
      <w:pPr>
        <w:numPr>
          <w:ilvl w:val="3"/>
          <w:numId w:val="2"/>
        </w:numPr>
        <w:rPr>
          <w:rFonts w:ascii="Arial" w:hAnsi="Arial" w:cs="Arial"/>
          <w:bCs/>
          <w:lang w:val="fr-CA"/>
        </w:rPr>
      </w:pPr>
      <w:r w:rsidRPr="00E21061">
        <w:rPr>
          <w:rFonts w:ascii="Arial" w:hAnsi="Arial" w:cs="Arial"/>
          <w:bCs/>
          <w:lang w:val="fr-CA"/>
        </w:rPr>
        <w:t>Norme ASTM F1960 : Spécification des raccords dilatés à froid avec bagues de renforcement en PEX pour utilisation avec la tuyauterie en polyéthylène réticulé (PEX)</w:t>
      </w:r>
    </w:p>
    <w:p w14:paraId="0CC8D784" w14:textId="78A5BB0D" w:rsidR="00FB3DA6" w:rsidRPr="00C73E83" w:rsidRDefault="00FB3DA6" w:rsidP="00E21061">
      <w:pPr>
        <w:numPr>
          <w:ilvl w:val="2"/>
          <w:numId w:val="2"/>
        </w:numPr>
        <w:rPr>
          <w:rFonts w:ascii="Arial" w:hAnsi="Arial" w:cs="Arial"/>
          <w:lang w:val="fr-CA"/>
        </w:rPr>
      </w:pPr>
      <w:r w:rsidRPr="00E21061">
        <w:rPr>
          <w:rFonts w:ascii="Arial" w:hAnsi="Arial" w:cs="Arial"/>
          <w:bCs/>
          <w:lang w:val="fr-CA"/>
        </w:rPr>
        <w:t>Association canadienne de normalisation (CSA) :</w:t>
      </w:r>
    </w:p>
    <w:p w14:paraId="1000A711" w14:textId="44CEC9D8" w:rsidR="00FB3DA6" w:rsidRPr="00E21061" w:rsidRDefault="00FB3DA6" w:rsidP="00E21061">
      <w:pPr>
        <w:numPr>
          <w:ilvl w:val="3"/>
          <w:numId w:val="2"/>
        </w:numPr>
        <w:rPr>
          <w:rFonts w:ascii="Arial" w:hAnsi="Arial" w:cs="Arial"/>
          <w:bCs/>
          <w:lang w:val="fr-CA"/>
        </w:rPr>
      </w:pPr>
      <w:r w:rsidRPr="00E21061">
        <w:rPr>
          <w:rFonts w:ascii="Arial" w:hAnsi="Arial" w:cs="Arial"/>
          <w:bCs/>
          <w:lang w:val="fr-CA"/>
        </w:rPr>
        <w:t>CAN/CSA B137.5 : Réseaux de tuyauterie en polyéthylène réticulé (PEX) dans les applications sous pression</w:t>
      </w:r>
    </w:p>
    <w:p w14:paraId="7785F860" w14:textId="4F8EE39D" w:rsidR="00FB3DA6" w:rsidRPr="00C73E83" w:rsidRDefault="00FB3DA6" w:rsidP="00E21061">
      <w:pPr>
        <w:numPr>
          <w:ilvl w:val="2"/>
          <w:numId w:val="2"/>
        </w:numPr>
        <w:rPr>
          <w:rFonts w:ascii="Arial" w:hAnsi="Arial" w:cs="Arial"/>
          <w:bCs/>
          <w:lang w:val="fr-CA"/>
        </w:rPr>
      </w:pPr>
      <w:r w:rsidRPr="00C73E83">
        <w:rPr>
          <w:rFonts w:ascii="Arial" w:hAnsi="Arial" w:cs="Arial"/>
          <w:bCs/>
          <w:lang w:val="fr-CA"/>
        </w:rPr>
        <w:t xml:space="preserve">National </w:t>
      </w:r>
      <w:proofErr w:type="spellStart"/>
      <w:r w:rsidRPr="00C73E83">
        <w:rPr>
          <w:rFonts w:ascii="Arial" w:hAnsi="Arial" w:cs="Arial"/>
          <w:bCs/>
          <w:lang w:val="fr-CA"/>
        </w:rPr>
        <w:t>Sanitation</w:t>
      </w:r>
      <w:proofErr w:type="spellEnd"/>
      <w:r w:rsidRPr="00C73E83">
        <w:rPr>
          <w:rFonts w:ascii="Arial" w:hAnsi="Arial" w:cs="Arial"/>
          <w:bCs/>
          <w:lang w:val="fr-CA"/>
        </w:rPr>
        <w:t xml:space="preserve"> </w:t>
      </w:r>
      <w:proofErr w:type="spellStart"/>
      <w:r w:rsidRPr="00C73E83">
        <w:rPr>
          <w:rFonts w:ascii="Arial" w:hAnsi="Arial" w:cs="Arial"/>
          <w:bCs/>
          <w:lang w:val="fr-CA"/>
        </w:rPr>
        <w:t>Foundation</w:t>
      </w:r>
      <w:proofErr w:type="spellEnd"/>
      <w:r w:rsidRPr="00C73E83">
        <w:rPr>
          <w:rFonts w:ascii="Arial" w:hAnsi="Arial" w:cs="Arial"/>
          <w:bCs/>
          <w:lang w:val="fr-CA"/>
        </w:rPr>
        <w:t xml:space="preserve"> (NSF) :</w:t>
      </w:r>
    </w:p>
    <w:p w14:paraId="69967F92" w14:textId="77777777" w:rsidR="00FB3DA6" w:rsidRPr="00C73E83" w:rsidRDefault="00FB3DA6" w:rsidP="00FB3DA6">
      <w:pPr>
        <w:numPr>
          <w:ilvl w:val="3"/>
          <w:numId w:val="17"/>
        </w:numPr>
        <w:rPr>
          <w:rFonts w:ascii="Arial" w:hAnsi="Arial" w:cs="Arial"/>
          <w:bCs/>
          <w:lang w:val="fr-CA"/>
        </w:rPr>
      </w:pPr>
      <w:r w:rsidRPr="00C73E83">
        <w:rPr>
          <w:rFonts w:ascii="Arial" w:hAnsi="Arial" w:cs="Arial"/>
          <w:bCs/>
          <w:lang w:val="fr-CA"/>
        </w:rPr>
        <w:t>ANSI/NSF 14 : Composants de tuyauterie en matières plastiques et matériaux connexes</w:t>
      </w:r>
    </w:p>
    <w:p w14:paraId="4DA8F841" w14:textId="77777777" w:rsidR="00FB3DA6" w:rsidRPr="00C73E83" w:rsidRDefault="00FB3DA6" w:rsidP="00FB3DA6">
      <w:pPr>
        <w:numPr>
          <w:ilvl w:val="3"/>
          <w:numId w:val="17"/>
        </w:numPr>
        <w:rPr>
          <w:rFonts w:ascii="Arial" w:hAnsi="Arial" w:cs="Arial"/>
          <w:bCs/>
          <w:lang w:val="fr-CA"/>
        </w:rPr>
      </w:pPr>
      <w:r w:rsidRPr="00C73E83">
        <w:rPr>
          <w:rFonts w:ascii="Arial" w:hAnsi="Arial" w:cs="Arial"/>
          <w:bCs/>
          <w:lang w:val="fr-CA"/>
        </w:rPr>
        <w:t>ANSI/NSF 61 : Effets sur la santé des composants de réseaux d'eau potable</w:t>
      </w:r>
    </w:p>
    <w:p w14:paraId="6648A4E3" w14:textId="7B1CBCC0" w:rsidR="00FB3DA6" w:rsidRPr="00E21061" w:rsidRDefault="00FB3DA6" w:rsidP="00E21061">
      <w:pPr>
        <w:numPr>
          <w:ilvl w:val="2"/>
          <w:numId w:val="2"/>
        </w:numPr>
        <w:rPr>
          <w:rFonts w:ascii="Arial" w:hAnsi="Arial" w:cs="Arial"/>
          <w:bCs/>
          <w:lang w:val="fr-CA"/>
        </w:rPr>
      </w:pPr>
      <w:r w:rsidRPr="00E21061">
        <w:rPr>
          <w:rFonts w:ascii="Arial" w:hAnsi="Arial" w:cs="Arial"/>
          <w:bCs/>
          <w:lang w:val="fr-CA"/>
        </w:rPr>
        <w:t xml:space="preserve">Laboratoires des assureurs du Canada </w:t>
      </w:r>
      <w:proofErr w:type="spellStart"/>
      <w:r w:rsidRPr="00E21061">
        <w:rPr>
          <w:rFonts w:ascii="Arial" w:hAnsi="Arial" w:cs="Arial"/>
          <w:bCs/>
          <w:lang w:val="fr-CA"/>
        </w:rPr>
        <w:t>inc.</w:t>
      </w:r>
      <w:proofErr w:type="spellEnd"/>
      <w:r w:rsidRPr="00E21061">
        <w:rPr>
          <w:rFonts w:ascii="Arial" w:hAnsi="Arial" w:cs="Arial"/>
          <w:bCs/>
          <w:lang w:val="fr-CA"/>
        </w:rPr>
        <w:t xml:space="preserve"> :</w:t>
      </w:r>
    </w:p>
    <w:p w14:paraId="0BEA790D" w14:textId="04C3C995" w:rsidR="00FB3DA6" w:rsidRPr="00B75D8A" w:rsidRDefault="00FB3DA6" w:rsidP="00B75D8A">
      <w:pPr>
        <w:numPr>
          <w:ilvl w:val="3"/>
          <w:numId w:val="30"/>
        </w:numPr>
        <w:rPr>
          <w:rFonts w:ascii="Arial" w:hAnsi="Arial" w:cs="Arial"/>
          <w:bCs/>
          <w:lang w:val="fr-CA"/>
        </w:rPr>
      </w:pPr>
      <w:r w:rsidRPr="00B75D8A">
        <w:rPr>
          <w:rFonts w:ascii="Arial" w:hAnsi="Arial" w:cs="Arial"/>
          <w:bCs/>
          <w:lang w:val="fr-CA"/>
        </w:rPr>
        <w:t>CAN/ULC-S101 : Méthode d’essai normalisée pour la résistance au feu des bâtiments et des matériaux de construction</w:t>
      </w:r>
    </w:p>
    <w:p w14:paraId="3D32A05E" w14:textId="6E2E6648" w:rsidR="00FB3DA6" w:rsidRPr="00B75D8A" w:rsidRDefault="00FB3DA6" w:rsidP="00B75D8A">
      <w:pPr>
        <w:numPr>
          <w:ilvl w:val="3"/>
          <w:numId w:val="30"/>
        </w:numPr>
        <w:rPr>
          <w:rFonts w:ascii="Arial" w:hAnsi="Arial" w:cs="Arial"/>
          <w:bCs/>
          <w:lang w:val="fr-CA"/>
        </w:rPr>
      </w:pPr>
      <w:r w:rsidRPr="00B75D8A">
        <w:rPr>
          <w:rFonts w:ascii="Arial" w:hAnsi="Arial" w:cs="Arial"/>
          <w:bCs/>
          <w:lang w:val="fr-CA"/>
        </w:rPr>
        <w:lastRenderedPageBreak/>
        <w:t>CAN/ULC-S115 : Méthode d’essai normalisée pour la résistance au feu des systèmes coupe-feu</w:t>
      </w:r>
    </w:p>
    <w:p w14:paraId="5A3F1C46" w14:textId="60F81736" w:rsidR="00FB3DA6" w:rsidRPr="00B75D8A" w:rsidRDefault="00FB3DA6" w:rsidP="00B75D8A">
      <w:pPr>
        <w:numPr>
          <w:ilvl w:val="3"/>
          <w:numId w:val="30"/>
        </w:numPr>
        <w:rPr>
          <w:rFonts w:ascii="Arial" w:hAnsi="Arial" w:cs="Arial"/>
          <w:bCs/>
          <w:lang w:val="fr-CA"/>
        </w:rPr>
      </w:pPr>
      <w:r w:rsidRPr="00B75D8A">
        <w:rPr>
          <w:rFonts w:ascii="Arial" w:hAnsi="Arial" w:cs="Arial"/>
          <w:bCs/>
          <w:lang w:val="fr-CA"/>
        </w:rPr>
        <w:t>CAN/ULC-S102.2 : Méthode d’essai normalisée des caractéristiques de combustion superficielle des revêtements de sol et des divers matériaux et assemblages</w:t>
      </w:r>
    </w:p>
    <w:p w14:paraId="7CB54148" w14:textId="1B9F2CDE" w:rsidR="00FB3DA6" w:rsidRPr="00B75D8A" w:rsidRDefault="00FB3DA6" w:rsidP="00B75D8A">
      <w:pPr>
        <w:numPr>
          <w:ilvl w:val="2"/>
          <w:numId w:val="2"/>
        </w:numPr>
        <w:rPr>
          <w:rFonts w:ascii="Arial" w:hAnsi="Arial" w:cs="Arial"/>
          <w:bCs/>
          <w:lang w:val="fr-CA"/>
        </w:rPr>
      </w:pPr>
      <w:r w:rsidRPr="00B75D8A">
        <w:rPr>
          <w:rFonts w:ascii="Arial" w:hAnsi="Arial" w:cs="Arial"/>
          <w:bCs/>
          <w:lang w:val="fr-CA"/>
        </w:rPr>
        <w:t>Plastic Pipe Institute (PPI) :</w:t>
      </w:r>
    </w:p>
    <w:p w14:paraId="578951D2" w14:textId="3D507E79" w:rsidR="00FB3DA6" w:rsidRPr="00632D80" w:rsidRDefault="00FB3DA6" w:rsidP="00632D80">
      <w:pPr>
        <w:numPr>
          <w:ilvl w:val="3"/>
          <w:numId w:val="31"/>
        </w:numPr>
        <w:rPr>
          <w:rFonts w:ascii="Arial" w:hAnsi="Arial" w:cs="Arial"/>
          <w:bCs/>
          <w:lang w:val="fr-CA"/>
        </w:rPr>
      </w:pPr>
      <w:r w:rsidRPr="00632D80">
        <w:rPr>
          <w:rFonts w:ascii="Arial" w:hAnsi="Arial" w:cs="Arial"/>
          <w:bCs/>
          <w:lang w:val="fr-CA"/>
        </w:rPr>
        <w:t>Rapport technique TR-4 du PPI.</w:t>
      </w:r>
    </w:p>
    <w:p w14:paraId="32A98162" w14:textId="4B4D261C" w:rsidR="00FB3DA6" w:rsidRPr="00C73E83" w:rsidRDefault="00FB3DA6" w:rsidP="00B75D8A">
      <w:pPr>
        <w:numPr>
          <w:ilvl w:val="2"/>
          <w:numId w:val="2"/>
        </w:numPr>
        <w:rPr>
          <w:rFonts w:ascii="Arial" w:hAnsi="Arial" w:cs="Arial"/>
          <w:lang w:val="fr-CA"/>
        </w:rPr>
      </w:pPr>
      <w:r w:rsidRPr="00B75D8A">
        <w:rPr>
          <w:rFonts w:ascii="Arial" w:hAnsi="Arial" w:cs="Arial"/>
          <w:bCs/>
          <w:lang w:val="fr-CA"/>
        </w:rPr>
        <w:t>GF Building Flow Solutions (</w:t>
      </w:r>
      <w:proofErr w:type="spellStart"/>
      <w:r w:rsidRPr="00B75D8A">
        <w:rPr>
          <w:rFonts w:ascii="Arial" w:hAnsi="Arial" w:cs="Arial"/>
          <w:bCs/>
          <w:lang w:val="fr-CA"/>
        </w:rPr>
        <w:t>Uponor</w:t>
      </w:r>
      <w:proofErr w:type="spellEnd"/>
      <w:r w:rsidRPr="00B75D8A">
        <w:rPr>
          <w:rFonts w:ascii="Arial" w:hAnsi="Arial" w:cs="Arial"/>
          <w:bCs/>
          <w:lang w:val="fr-CA"/>
        </w:rPr>
        <w:t>):</w:t>
      </w:r>
    </w:p>
    <w:p w14:paraId="2BD5592E" w14:textId="043B64DB" w:rsidR="00FB3DA6" w:rsidRPr="00632D80" w:rsidRDefault="00FB3DA6" w:rsidP="00632D80">
      <w:pPr>
        <w:numPr>
          <w:ilvl w:val="3"/>
          <w:numId w:val="32"/>
        </w:numPr>
        <w:rPr>
          <w:rFonts w:ascii="Arial" w:hAnsi="Arial" w:cs="Arial"/>
          <w:bCs/>
          <w:lang w:val="fr-CA"/>
        </w:rPr>
      </w:pPr>
      <w:r w:rsidRPr="00632D80">
        <w:rPr>
          <w:rFonts w:ascii="Arial" w:hAnsi="Arial" w:cs="Arial"/>
          <w:bCs/>
          <w:lang w:val="fr-CA"/>
        </w:rPr>
        <w:t>Guide d’installation pour réseaux de tuyauterie en PEX d’</w:t>
      </w:r>
      <w:proofErr w:type="spellStart"/>
      <w:r w:rsidRPr="00632D80">
        <w:rPr>
          <w:rFonts w:ascii="Arial" w:hAnsi="Arial" w:cs="Arial"/>
          <w:bCs/>
          <w:lang w:val="fr-CA"/>
        </w:rPr>
        <w:t>Uponor</w:t>
      </w:r>
      <w:proofErr w:type="spellEnd"/>
      <w:r w:rsidRPr="00632D80">
        <w:rPr>
          <w:rFonts w:ascii="Arial" w:hAnsi="Arial" w:cs="Arial"/>
          <w:bCs/>
          <w:lang w:val="fr-CA"/>
        </w:rPr>
        <w:t>, dernière édition.</w:t>
      </w:r>
    </w:p>
    <w:p w14:paraId="5CC00FEB" w14:textId="18E0BEC6" w:rsidR="00FB3DA6" w:rsidRPr="005A68AC" w:rsidRDefault="00FB3DA6" w:rsidP="005A68AC">
      <w:pPr>
        <w:numPr>
          <w:ilvl w:val="3"/>
          <w:numId w:val="32"/>
        </w:numPr>
        <w:rPr>
          <w:rFonts w:ascii="Arial" w:hAnsi="Arial" w:cs="Arial"/>
          <w:bCs/>
          <w:lang w:val="fr-CA"/>
        </w:rPr>
      </w:pPr>
      <w:r w:rsidRPr="005A68AC">
        <w:rPr>
          <w:rFonts w:ascii="Arial" w:hAnsi="Arial" w:cs="Arial"/>
          <w:bCs/>
          <w:lang w:val="fr-CA"/>
        </w:rPr>
        <w:t>Manuel de conception et d’installation pour réseaux de tuyauterie en PEX d’</w:t>
      </w:r>
      <w:proofErr w:type="spellStart"/>
      <w:r w:rsidRPr="005A68AC">
        <w:rPr>
          <w:rFonts w:ascii="Arial" w:hAnsi="Arial" w:cs="Arial"/>
          <w:bCs/>
          <w:lang w:val="fr-CA"/>
        </w:rPr>
        <w:t>Uponor</w:t>
      </w:r>
      <w:proofErr w:type="spellEnd"/>
      <w:r w:rsidRPr="005A68AC">
        <w:rPr>
          <w:rFonts w:ascii="Arial" w:hAnsi="Arial" w:cs="Arial"/>
          <w:bCs/>
          <w:lang w:val="fr-CA"/>
        </w:rPr>
        <w:t>, dernière édition.</w:t>
      </w:r>
    </w:p>
    <w:p w14:paraId="145801D6" w14:textId="77777777" w:rsidR="00FB3DA6" w:rsidRPr="00C73E83" w:rsidRDefault="00FB3DA6" w:rsidP="00FB3DA6">
      <w:pPr>
        <w:ind w:left="1440"/>
        <w:rPr>
          <w:rFonts w:ascii="Arial" w:hAnsi="Arial" w:cs="Arial"/>
          <w:lang w:val="fr-CA"/>
        </w:rPr>
      </w:pPr>
    </w:p>
    <w:p w14:paraId="7659E602" w14:textId="28CC03E3" w:rsidR="00876525" w:rsidRPr="00C73E83" w:rsidRDefault="00263F49" w:rsidP="005A68AC">
      <w:pPr>
        <w:numPr>
          <w:ilvl w:val="1"/>
          <w:numId w:val="2"/>
        </w:numPr>
        <w:spacing w:after="240"/>
        <w:ind w:left="0" w:firstLine="0"/>
        <w:rPr>
          <w:rFonts w:ascii="Arial" w:hAnsi="Arial" w:cs="Arial"/>
          <w:b/>
          <w:lang w:val="fr-CA"/>
        </w:rPr>
      </w:pPr>
      <w:r w:rsidRPr="00C73E83">
        <w:rPr>
          <w:rFonts w:ascii="Arial" w:hAnsi="Arial" w:cs="Arial"/>
          <w:b/>
          <w:lang w:val="fr-CA"/>
        </w:rPr>
        <w:t>DESCRIPTION DU SYSTÈME</w:t>
      </w:r>
    </w:p>
    <w:p w14:paraId="765304D7" w14:textId="4E5FD1AA" w:rsidR="00FB3DA6" w:rsidRPr="00C73E83" w:rsidRDefault="00FB3DA6" w:rsidP="00FB3DA6">
      <w:pPr>
        <w:numPr>
          <w:ilvl w:val="2"/>
          <w:numId w:val="21"/>
        </w:numPr>
        <w:spacing w:after="240"/>
        <w:rPr>
          <w:rFonts w:ascii="Arial" w:hAnsi="Arial" w:cs="Arial"/>
          <w:bCs/>
          <w:lang w:val="fr-CA"/>
        </w:rPr>
      </w:pPr>
      <w:r w:rsidRPr="00C73E83">
        <w:rPr>
          <w:rFonts w:ascii="Arial" w:hAnsi="Arial" w:cs="Arial"/>
          <w:bCs/>
          <w:lang w:val="fr-CA"/>
        </w:rPr>
        <w:t>Exigences de rendement : Fournir un réseau de tuyauterie en PEX pour la distribution d’eau potable, fabriqué et installé en conformité avec les codes du bâtiment fédéraux, provinciaux et municipaux, ainsi que les critères de rendement établis par le fabricant, et ce, sans dommages ou défauts.</w:t>
      </w:r>
    </w:p>
    <w:p w14:paraId="4D8E2FC2" w14:textId="234260C9" w:rsidR="00876525" w:rsidRPr="00C73E83" w:rsidRDefault="00263F49" w:rsidP="005A68AC">
      <w:pPr>
        <w:numPr>
          <w:ilvl w:val="1"/>
          <w:numId w:val="2"/>
        </w:numPr>
        <w:spacing w:after="240"/>
        <w:ind w:left="0" w:firstLine="0"/>
        <w:rPr>
          <w:rFonts w:ascii="Arial" w:hAnsi="Arial" w:cs="Arial"/>
          <w:b/>
          <w:lang w:val="fr-CA"/>
        </w:rPr>
      </w:pPr>
      <w:r w:rsidRPr="00C73E83">
        <w:rPr>
          <w:rFonts w:ascii="Arial" w:hAnsi="Arial" w:cs="Arial"/>
          <w:b/>
          <w:lang w:val="fr-CA"/>
        </w:rPr>
        <w:t>DOCUMENTS À SOUMETTRE</w:t>
      </w:r>
    </w:p>
    <w:p w14:paraId="7A54C4DE" w14:textId="77777777" w:rsidR="00355036" w:rsidRPr="00C73E83" w:rsidRDefault="00355036" w:rsidP="005A68AC">
      <w:pPr>
        <w:numPr>
          <w:ilvl w:val="2"/>
          <w:numId w:val="33"/>
        </w:numPr>
        <w:rPr>
          <w:rFonts w:ascii="Arial" w:hAnsi="Arial" w:cs="Arial"/>
          <w:bCs/>
          <w:lang w:val="fr-CA"/>
        </w:rPr>
      </w:pPr>
      <w:r w:rsidRPr="00C73E83">
        <w:rPr>
          <w:rFonts w:ascii="Arial" w:hAnsi="Arial" w:cs="Arial"/>
          <w:bCs/>
          <w:lang w:val="fr-CA"/>
        </w:rPr>
        <w:t>Général : Présenter les documents suivants, en conformité avec les conditions du contrat et les dispositions de la section sur les procédures de soumission (Division 1).</w:t>
      </w:r>
    </w:p>
    <w:p w14:paraId="21117302" w14:textId="77777777" w:rsidR="00355036" w:rsidRPr="00C73E83" w:rsidRDefault="00355036" w:rsidP="005A68AC">
      <w:pPr>
        <w:numPr>
          <w:ilvl w:val="2"/>
          <w:numId w:val="33"/>
        </w:numPr>
        <w:rPr>
          <w:rFonts w:ascii="Arial" w:hAnsi="Arial" w:cs="Arial"/>
          <w:bCs/>
          <w:lang w:val="fr-CA"/>
        </w:rPr>
      </w:pPr>
      <w:r w:rsidRPr="00C73E83">
        <w:rPr>
          <w:rFonts w:ascii="Arial" w:hAnsi="Arial" w:cs="Arial"/>
          <w:bCs/>
          <w:lang w:val="fr-CA"/>
        </w:rPr>
        <w:t>Données techniques : Soumettre les données techniques pour les produits spécifiés.</w:t>
      </w:r>
    </w:p>
    <w:p w14:paraId="3575DF08" w14:textId="7777777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 xml:space="preserve">Soumettre la vérification de la pression hydrostatique nominale de qualité standard selon le Plastic Pipe Institute, en conformité avec TR-4. Les </w:t>
      </w:r>
      <w:r w:rsidRPr="00C73E83">
        <w:rPr>
          <w:rFonts w:ascii="Arial" w:hAnsi="Arial" w:cs="Arial"/>
          <w:bCs/>
          <w:lang w:val="fr-CA"/>
        </w:rPr>
        <w:br/>
        <w:t xml:space="preserve">3 caractéristiques suivantes sont obligatoires : </w:t>
      </w:r>
    </w:p>
    <w:p w14:paraId="05F9FE71" w14:textId="77777777" w:rsidR="00355036" w:rsidRPr="00C73E83" w:rsidRDefault="00355036" w:rsidP="005A68AC">
      <w:pPr>
        <w:numPr>
          <w:ilvl w:val="4"/>
          <w:numId w:val="33"/>
        </w:numPr>
        <w:rPr>
          <w:rFonts w:ascii="Arial" w:hAnsi="Arial" w:cs="Arial"/>
          <w:bCs/>
          <w:lang w:val="fr-CA"/>
        </w:rPr>
      </w:pPr>
      <w:r w:rsidRPr="00C73E83">
        <w:rPr>
          <w:rFonts w:ascii="Arial" w:hAnsi="Arial" w:cs="Arial"/>
          <w:bCs/>
          <w:lang w:val="fr-CA"/>
        </w:rPr>
        <w:t xml:space="preserve">200 °F (93 °C) à 80 </w:t>
      </w:r>
      <w:proofErr w:type="gramStart"/>
      <w:r w:rsidRPr="00C73E83">
        <w:rPr>
          <w:rFonts w:ascii="Arial" w:hAnsi="Arial" w:cs="Arial"/>
          <w:bCs/>
          <w:lang w:val="fr-CA"/>
        </w:rPr>
        <w:t>psi</w:t>
      </w:r>
      <w:proofErr w:type="gramEnd"/>
      <w:r w:rsidRPr="00C73E83">
        <w:rPr>
          <w:rFonts w:ascii="Arial" w:hAnsi="Arial" w:cs="Arial"/>
          <w:bCs/>
          <w:lang w:val="fr-CA"/>
        </w:rPr>
        <w:t xml:space="preserve"> (551 kPa) </w:t>
      </w:r>
    </w:p>
    <w:p w14:paraId="62A2E1EE" w14:textId="77777777" w:rsidR="00355036" w:rsidRPr="00C73E83" w:rsidRDefault="00355036" w:rsidP="005A68AC">
      <w:pPr>
        <w:numPr>
          <w:ilvl w:val="4"/>
          <w:numId w:val="33"/>
        </w:numPr>
        <w:rPr>
          <w:rFonts w:ascii="Arial" w:hAnsi="Arial" w:cs="Arial"/>
          <w:bCs/>
          <w:lang w:val="fr-CA"/>
        </w:rPr>
      </w:pPr>
      <w:r w:rsidRPr="00C73E83">
        <w:rPr>
          <w:rFonts w:ascii="Arial" w:hAnsi="Arial" w:cs="Arial"/>
          <w:bCs/>
          <w:lang w:val="fr-CA"/>
        </w:rPr>
        <w:t xml:space="preserve">180 °F (82 °C) à 100 </w:t>
      </w:r>
      <w:proofErr w:type="gramStart"/>
      <w:r w:rsidRPr="00C73E83">
        <w:rPr>
          <w:rFonts w:ascii="Arial" w:hAnsi="Arial" w:cs="Arial"/>
          <w:bCs/>
          <w:lang w:val="fr-CA"/>
        </w:rPr>
        <w:t>psi</w:t>
      </w:r>
      <w:proofErr w:type="gramEnd"/>
      <w:r w:rsidRPr="00C73E83">
        <w:rPr>
          <w:rFonts w:ascii="Arial" w:hAnsi="Arial" w:cs="Arial"/>
          <w:bCs/>
          <w:lang w:val="fr-CA"/>
        </w:rPr>
        <w:t xml:space="preserve"> (689 kPa)</w:t>
      </w:r>
    </w:p>
    <w:p w14:paraId="1DC26019" w14:textId="77777777" w:rsidR="00355036" w:rsidRPr="00C73E83" w:rsidRDefault="00355036" w:rsidP="005A68AC">
      <w:pPr>
        <w:numPr>
          <w:ilvl w:val="4"/>
          <w:numId w:val="33"/>
        </w:numPr>
        <w:rPr>
          <w:rFonts w:ascii="Arial" w:hAnsi="Arial" w:cs="Arial"/>
          <w:bCs/>
          <w:lang w:val="fr-CA"/>
        </w:rPr>
      </w:pPr>
      <w:r w:rsidRPr="00C73E83">
        <w:rPr>
          <w:rFonts w:ascii="Arial" w:hAnsi="Arial" w:cs="Arial"/>
          <w:bCs/>
          <w:lang w:val="fr-CA"/>
        </w:rPr>
        <w:t xml:space="preserve">73 °F (23 °C) à 160 </w:t>
      </w:r>
      <w:proofErr w:type="gramStart"/>
      <w:r w:rsidRPr="00C73E83">
        <w:rPr>
          <w:rFonts w:ascii="Arial" w:hAnsi="Arial" w:cs="Arial"/>
          <w:bCs/>
          <w:lang w:val="fr-CA"/>
        </w:rPr>
        <w:t>psi</w:t>
      </w:r>
      <w:proofErr w:type="gramEnd"/>
      <w:r w:rsidRPr="00C73E83">
        <w:rPr>
          <w:rFonts w:ascii="Arial" w:hAnsi="Arial" w:cs="Arial"/>
          <w:bCs/>
          <w:lang w:val="fr-CA"/>
        </w:rPr>
        <w:t xml:space="preserve"> (1102 kPa)</w:t>
      </w:r>
    </w:p>
    <w:p w14:paraId="48762474" w14:textId="146DF5C8"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 xml:space="preserve">Soumettre la documentation relative au produit pour les tuyaux, les collecteurs, les fixations, les tuyaux </w:t>
      </w:r>
      <w:proofErr w:type="spellStart"/>
      <w:r w:rsidRPr="00C73E83">
        <w:rPr>
          <w:rFonts w:ascii="Arial" w:hAnsi="Arial" w:cs="Arial"/>
          <w:bCs/>
          <w:lang w:val="fr-CA"/>
        </w:rPr>
        <w:t>prégainés</w:t>
      </w:r>
      <w:proofErr w:type="spellEnd"/>
      <w:r w:rsidRPr="00C73E83">
        <w:rPr>
          <w:rFonts w:ascii="Arial" w:hAnsi="Arial" w:cs="Arial"/>
          <w:bCs/>
          <w:lang w:val="fr-CA"/>
        </w:rPr>
        <w:t xml:space="preserve">, les tuyaux </w:t>
      </w:r>
      <w:proofErr w:type="spellStart"/>
      <w:r w:rsidRPr="00C73E83">
        <w:rPr>
          <w:rFonts w:ascii="Arial" w:hAnsi="Arial" w:cs="Arial"/>
          <w:bCs/>
          <w:lang w:val="fr-CA"/>
        </w:rPr>
        <w:t>préisolés</w:t>
      </w:r>
      <w:proofErr w:type="spellEnd"/>
      <w:r w:rsidRPr="00C73E83">
        <w:rPr>
          <w:rFonts w:ascii="Arial" w:hAnsi="Arial" w:cs="Arial"/>
          <w:bCs/>
          <w:lang w:val="fr-CA"/>
        </w:rPr>
        <w:t>, les supports, les systèmes de raccordement, les robinets et vannes et les raccords.</w:t>
      </w:r>
    </w:p>
    <w:p w14:paraId="0BAE36AC" w14:textId="05567B30" w:rsidR="00355036" w:rsidRPr="00C73E83" w:rsidRDefault="00355036" w:rsidP="005A68AC">
      <w:pPr>
        <w:numPr>
          <w:ilvl w:val="2"/>
          <w:numId w:val="33"/>
        </w:numPr>
        <w:rPr>
          <w:rFonts w:ascii="Arial" w:hAnsi="Arial" w:cs="Arial"/>
          <w:bCs/>
          <w:lang w:val="fr-CA"/>
        </w:rPr>
      </w:pPr>
      <w:r w:rsidRPr="00C73E83">
        <w:rPr>
          <w:rFonts w:ascii="Arial" w:hAnsi="Arial" w:cs="Arial"/>
          <w:bCs/>
          <w:lang w:val="fr-CA"/>
        </w:rPr>
        <w:t xml:space="preserve">Homologations réglementaires : Soumettre les homologations UL, ULC, </w:t>
      </w:r>
      <w:proofErr w:type="spellStart"/>
      <w:r w:rsidRPr="00C73E83">
        <w:rPr>
          <w:rFonts w:ascii="Arial" w:hAnsi="Arial" w:cs="Arial"/>
          <w:bCs/>
          <w:lang w:val="fr-CA"/>
        </w:rPr>
        <w:t>Warnock</w:t>
      </w:r>
      <w:proofErr w:type="spellEnd"/>
      <w:r w:rsidRPr="00C73E83">
        <w:rPr>
          <w:rFonts w:ascii="Arial" w:hAnsi="Arial" w:cs="Arial"/>
          <w:bCs/>
          <w:lang w:val="fr-CA"/>
        </w:rPr>
        <w:t xml:space="preserve"> Hersey, Intertek ou QAI, ainsi que CSA ou NSF requises pour prouver la conformité avec les codes du bâtiment et de la plomberie fédéraux, provinciaux et municipaux. </w:t>
      </w:r>
    </w:p>
    <w:p w14:paraId="02D27754" w14:textId="7777777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 xml:space="preserve">Soumettre les documents indiquant que la tuyauterie en PEX est homologuée selon CAN/ULC-S101 lorsque la tuyauterie est incorporée dans ou traverse une construction homologuée selon CAN/ULC-S101. Les homologations doivent correspondre aux éléments présents sur le site.   </w:t>
      </w:r>
    </w:p>
    <w:p w14:paraId="3A37D4A7" w14:textId="4FE1E2A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 xml:space="preserve">Soumettre les documents indiquant que le système coupe-feu de la tuyauterie en PEX est homologué CAN/ULC-S115 lorsque la tuyauterie en PEX traverse un cloisonnement coupe-feu. Les homologations doivent correspondre aux constructions sur le site.   </w:t>
      </w:r>
    </w:p>
    <w:p w14:paraId="0AE5D227" w14:textId="656160EC"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Soumettre les documents indiquant que le système de tuyauterie en PEX est homologué CAN/ULC-S102.2 avec un indice de propagation des flammes maximal de 25 et un pouvoir fumigène maximal de 50.</w:t>
      </w:r>
    </w:p>
    <w:p w14:paraId="677B7DC6" w14:textId="444FCF9B"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Soumettre les documents indiquant que le système de tuyauterie en PEX est homologué CAN/CSA-B137.5.</w:t>
      </w:r>
    </w:p>
    <w:p w14:paraId="17E4D4C3" w14:textId="77777777" w:rsidR="00355036" w:rsidRPr="00C73E83" w:rsidRDefault="00355036" w:rsidP="005A68AC">
      <w:pPr>
        <w:numPr>
          <w:ilvl w:val="2"/>
          <w:numId w:val="33"/>
        </w:numPr>
        <w:rPr>
          <w:rFonts w:ascii="Arial" w:hAnsi="Arial" w:cs="Arial"/>
          <w:bCs/>
          <w:lang w:val="fr-CA"/>
        </w:rPr>
      </w:pPr>
      <w:r w:rsidRPr="00C73E83">
        <w:rPr>
          <w:rFonts w:ascii="Arial" w:hAnsi="Arial" w:cs="Arial"/>
          <w:bCs/>
          <w:lang w:val="fr-CA"/>
        </w:rPr>
        <w:t>Documents d’assurance qualité : Soumettre les documents suivants :</w:t>
      </w:r>
    </w:p>
    <w:p w14:paraId="7B8DA391" w14:textId="27689151" w:rsidR="00355036" w:rsidRPr="00C73E83" w:rsidRDefault="00355036" w:rsidP="005A68AC">
      <w:pPr>
        <w:numPr>
          <w:ilvl w:val="3"/>
          <w:numId w:val="33"/>
        </w:numPr>
        <w:rPr>
          <w:rFonts w:ascii="Arial" w:hAnsi="Arial" w:cs="Arial"/>
          <w:bCs/>
          <w:lang w:val="fr-CA"/>
        </w:rPr>
      </w:pPr>
      <w:r w:rsidRPr="00C73E83">
        <w:rPr>
          <w:rFonts w:ascii="Arial" w:hAnsi="Arial" w:cs="Arial"/>
          <w:lang w:val="fr-CA"/>
        </w:rPr>
        <w:t>Une copie de la lettre du fabricant indiquant que l’installateur est reconnu par le fabricant à titre d’installateur autorisé, formé pour l’utilisation de ses produits de tuyauterie en PEX pour distribution d’eau potable.</w:t>
      </w:r>
    </w:p>
    <w:p w14:paraId="114DC7D1" w14:textId="02F7E80B"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Directives du fabricant : Directives d’installation du fabricant.</w:t>
      </w:r>
    </w:p>
    <w:p w14:paraId="6FF759C4" w14:textId="7777777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lastRenderedPageBreak/>
        <w:t xml:space="preserve">L’installateur doit attester par écrit au propriétaire du projet que la tuyauterie en PEX et les composants fournis en vertu de la présente spécification sont conformes aux exigences matérielles et mécaniques spécifiées dans le présent document. </w:t>
      </w:r>
    </w:p>
    <w:p w14:paraId="7F3BA0EC" w14:textId="77777777" w:rsidR="00355036" w:rsidRPr="00C73E83" w:rsidRDefault="00355036" w:rsidP="005A68AC">
      <w:pPr>
        <w:numPr>
          <w:ilvl w:val="3"/>
          <w:numId w:val="33"/>
        </w:numPr>
        <w:rPr>
          <w:rFonts w:ascii="Arial" w:hAnsi="Arial" w:cs="Arial"/>
          <w:bCs/>
          <w:lang w:val="fr-CA"/>
        </w:rPr>
      </w:pPr>
      <w:r w:rsidRPr="00C73E83">
        <w:rPr>
          <w:rFonts w:ascii="Arial" w:hAnsi="Arial" w:cs="Arial"/>
          <w:lang w:val="fr-CA"/>
        </w:rPr>
        <w:t>L’installateur doit fournir la lettre du fabricant attestant que tout coupe-feu en contact avec la tuyauterie en PEX est chimiquement compatible avec les tuyaux en PEX.</w:t>
      </w:r>
    </w:p>
    <w:p w14:paraId="2D996D27" w14:textId="719B8626" w:rsidR="00355036" w:rsidRPr="00C73E83" w:rsidRDefault="00355036" w:rsidP="005A68AC">
      <w:pPr>
        <w:numPr>
          <w:ilvl w:val="3"/>
          <w:numId w:val="33"/>
        </w:numPr>
        <w:rPr>
          <w:rFonts w:ascii="Arial" w:hAnsi="Arial" w:cs="Arial"/>
          <w:bCs/>
          <w:lang w:val="fr-CA"/>
        </w:rPr>
      </w:pPr>
      <w:r w:rsidRPr="00C73E83">
        <w:rPr>
          <w:rFonts w:ascii="Arial" w:hAnsi="Arial" w:cs="Arial"/>
          <w:lang w:val="fr-CA"/>
        </w:rPr>
        <w:t>Soumettre l’homologation attestant que les tuyaux, bagues et raccords en PEX proviennent du même fabricant et ont été testés ensemble et certifiés en tant que système.</w:t>
      </w:r>
    </w:p>
    <w:p w14:paraId="71FD4EE7" w14:textId="77777777" w:rsidR="00355036" w:rsidRPr="00C73E83" w:rsidRDefault="00355036" w:rsidP="005A68AC">
      <w:pPr>
        <w:numPr>
          <w:ilvl w:val="2"/>
          <w:numId w:val="33"/>
        </w:numPr>
        <w:rPr>
          <w:rFonts w:ascii="Arial" w:hAnsi="Arial" w:cs="Arial"/>
          <w:bCs/>
          <w:lang w:val="fr-CA"/>
        </w:rPr>
      </w:pPr>
      <w:r w:rsidRPr="00C73E83">
        <w:rPr>
          <w:rFonts w:ascii="Arial" w:hAnsi="Arial" w:cs="Arial"/>
          <w:bCs/>
          <w:lang w:val="fr-CA"/>
        </w:rPr>
        <w:t>Documents de clôture : Soumettre les éléments suivants :</w:t>
      </w:r>
    </w:p>
    <w:p w14:paraId="3CE06DE9" w14:textId="7777777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Garantie : Documents de garantie spécifiés dans le présent document.</w:t>
      </w:r>
    </w:p>
    <w:p w14:paraId="265607EF" w14:textId="77777777" w:rsidR="00355036" w:rsidRPr="00C73E83" w:rsidRDefault="00355036" w:rsidP="005A68AC">
      <w:pPr>
        <w:numPr>
          <w:ilvl w:val="3"/>
          <w:numId w:val="33"/>
        </w:numPr>
        <w:rPr>
          <w:rFonts w:ascii="Arial" w:hAnsi="Arial" w:cs="Arial"/>
          <w:bCs/>
          <w:lang w:val="fr-CA"/>
        </w:rPr>
      </w:pPr>
      <w:r w:rsidRPr="00C73E83">
        <w:rPr>
          <w:rFonts w:ascii="Arial" w:hAnsi="Arial" w:cs="Arial"/>
          <w:bCs/>
          <w:lang w:val="fr-CA"/>
        </w:rPr>
        <w:t>Rapports du fabricant : Rapports du fabricant spécifiés dans le présent document.</w:t>
      </w:r>
    </w:p>
    <w:p w14:paraId="51990C3A" w14:textId="6988208F" w:rsidR="00355036" w:rsidRPr="00C73E83" w:rsidRDefault="00355036" w:rsidP="003D1A6B">
      <w:pPr>
        <w:numPr>
          <w:ilvl w:val="3"/>
          <w:numId w:val="33"/>
        </w:numPr>
        <w:spacing w:after="240"/>
        <w:rPr>
          <w:rFonts w:ascii="Arial" w:hAnsi="Arial" w:cs="Arial"/>
          <w:bCs/>
          <w:lang w:val="fr-CA"/>
        </w:rPr>
      </w:pPr>
      <w:r w:rsidRPr="00C73E83">
        <w:rPr>
          <w:rFonts w:ascii="Arial" w:hAnsi="Arial" w:cs="Arial"/>
          <w:lang w:val="fr-CA"/>
        </w:rPr>
        <w:t>Documents administratifs : Documents administratifs du projet pour les matériaux installés en conformité avec la section sur les documents de clôture (Division 1) (« documents administratifs »).</w:t>
      </w:r>
    </w:p>
    <w:p w14:paraId="5B84468D" w14:textId="07623A22" w:rsidR="00876525" w:rsidRPr="00C73E83" w:rsidRDefault="00263F49" w:rsidP="005A68AC">
      <w:pPr>
        <w:numPr>
          <w:ilvl w:val="1"/>
          <w:numId w:val="2"/>
        </w:numPr>
        <w:spacing w:after="240"/>
        <w:ind w:left="0" w:firstLine="0"/>
        <w:rPr>
          <w:rFonts w:ascii="Arial" w:hAnsi="Arial" w:cs="Arial"/>
          <w:b/>
          <w:lang w:val="fr-CA"/>
        </w:rPr>
      </w:pPr>
      <w:r w:rsidRPr="00C73E83">
        <w:rPr>
          <w:rFonts w:ascii="Arial" w:hAnsi="Arial" w:cs="Arial"/>
          <w:b/>
          <w:lang w:val="fr-CA"/>
        </w:rPr>
        <w:t>ASSURANCE QUALITÉ</w:t>
      </w:r>
    </w:p>
    <w:p w14:paraId="7C93798B" w14:textId="733B6725" w:rsidR="008C6BEA" w:rsidRPr="00C73E83" w:rsidRDefault="008C6BEA" w:rsidP="005A68AC">
      <w:pPr>
        <w:numPr>
          <w:ilvl w:val="2"/>
          <w:numId w:val="34"/>
        </w:numPr>
        <w:rPr>
          <w:rFonts w:ascii="Arial" w:hAnsi="Arial" w:cs="Arial"/>
          <w:bCs/>
          <w:lang w:val="fr-CA"/>
        </w:rPr>
      </w:pPr>
      <w:r w:rsidRPr="00C73E83">
        <w:rPr>
          <w:rFonts w:ascii="Arial" w:hAnsi="Arial" w:cs="Arial"/>
          <w:bCs/>
          <w:lang w:val="fr-CA"/>
        </w:rPr>
        <w:t>Qualifications</w:t>
      </w:r>
      <w:r w:rsidR="00355036" w:rsidRPr="00C73E83">
        <w:rPr>
          <w:rFonts w:ascii="Arial" w:hAnsi="Arial" w:cs="Arial"/>
          <w:bCs/>
          <w:lang w:val="fr-CA"/>
        </w:rPr>
        <w:t xml:space="preserve"> </w:t>
      </w:r>
      <w:r w:rsidRPr="00C73E83">
        <w:rPr>
          <w:rFonts w:ascii="Arial" w:hAnsi="Arial" w:cs="Arial"/>
          <w:bCs/>
          <w:lang w:val="fr-CA"/>
        </w:rPr>
        <w:t>:</w:t>
      </w:r>
    </w:p>
    <w:p w14:paraId="3EA64FBC" w14:textId="75FC6997" w:rsidR="00355036" w:rsidRPr="00C73E83" w:rsidRDefault="00355036" w:rsidP="005A68AC">
      <w:pPr>
        <w:pStyle w:val="ListParagraph"/>
        <w:numPr>
          <w:ilvl w:val="3"/>
          <w:numId w:val="34"/>
        </w:numPr>
        <w:rPr>
          <w:rFonts w:ascii="Arial" w:hAnsi="Arial" w:cs="Arial"/>
          <w:bCs/>
          <w:lang w:val="fr-CA"/>
        </w:rPr>
      </w:pPr>
      <w:r w:rsidRPr="00C73E83">
        <w:rPr>
          <w:rFonts w:ascii="Arial" w:hAnsi="Arial" w:cs="Arial"/>
          <w:bCs/>
          <w:lang w:val="fr-CA"/>
        </w:rPr>
        <w:t xml:space="preserve">Qualifications de l'installateur : L'installateur doit avoir </w:t>
      </w:r>
      <w:r w:rsidR="00C24BF4" w:rsidRPr="00C73E83">
        <w:rPr>
          <w:rFonts w:ascii="Arial" w:hAnsi="Arial" w:cs="Arial"/>
          <w:bCs/>
          <w:lang w:val="fr-FR"/>
        </w:rPr>
        <w:t>de l’expérience sur des projets d’envergure et de complexité similaires et être formé par GF Building Flow Solutions (</w:t>
      </w:r>
      <w:proofErr w:type="spellStart"/>
      <w:r w:rsidR="00C24BF4" w:rsidRPr="00C73E83">
        <w:rPr>
          <w:rFonts w:ascii="Arial" w:hAnsi="Arial" w:cs="Arial"/>
          <w:bCs/>
          <w:lang w:val="fr-FR"/>
        </w:rPr>
        <w:t>Uponor</w:t>
      </w:r>
      <w:proofErr w:type="spellEnd"/>
      <w:r w:rsidR="00C24BF4" w:rsidRPr="00C73E83">
        <w:rPr>
          <w:rFonts w:ascii="Arial" w:hAnsi="Arial" w:cs="Arial"/>
          <w:bCs/>
          <w:lang w:val="fr-FR"/>
        </w:rPr>
        <w:t xml:space="preserve">) ou par un formateur approuvé par </w:t>
      </w:r>
      <w:proofErr w:type="spellStart"/>
      <w:r w:rsidR="00C24BF4" w:rsidRPr="00C73E83">
        <w:rPr>
          <w:rFonts w:ascii="Arial" w:hAnsi="Arial" w:cs="Arial"/>
          <w:bCs/>
          <w:lang w:val="fr-FR"/>
        </w:rPr>
        <w:t>Uponor</w:t>
      </w:r>
      <w:proofErr w:type="spellEnd"/>
      <w:r w:rsidR="00C24BF4" w:rsidRPr="00C73E83">
        <w:rPr>
          <w:rFonts w:ascii="Arial" w:hAnsi="Arial" w:cs="Arial"/>
          <w:bCs/>
          <w:lang w:val="fr-FR"/>
        </w:rPr>
        <w:t>.</w:t>
      </w:r>
    </w:p>
    <w:p w14:paraId="2632454F" w14:textId="77777777" w:rsidR="00355036" w:rsidRPr="00C73E83" w:rsidRDefault="00355036" w:rsidP="005A68AC">
      <w:pPr>
        <w:pStyle w:val="ListParagraph"/>
        <w:numPr>
          <w:ilvl w:val="4"/>
          <w:numId w:val="34"/>
        </w:numPr>
        <w:rPr>
          <w:rFonts w:ascii="Arial" w:hAnsi="Arial" w:cs="Arial"/>
          <w:bCs/>
          <w:lang w:val="fr-CA"/>
        </w:rPr>
      </w:pPr>
      <w:r w:rsidRPr="00C73E83">
        <w:rPr>
          <w:rFonts w:ascii="Arial" w:hAnsi="Arial" w:cs="Arial"/>
          <w:bCs/>
          <w:lang w:val="fr-CA"/>
        </w:rPr>
        <w:t>Certifications : Fournir des lettres de certification indiquant que l'installateur emploie des travailleurs qualifiés titulaires d'une licence professionnelle ou d’une certification équivalente, ou des apprentis sous la supervision d'un artisan agréé.</w:t>
      </w:r>
    </w:p>
    <w:p w14:paraId="4643A52E" w14:textId="15B69278" w:rsidR="00355036" w:rsidRPr="00C73E83" w:rsidRDefault="00355036" w:rsidP="005A68AC">
      <w:pPr>
        <w:pStyle w:val="ListParagraph"/>
        <w:numPr>
          <w:ilvl w:val="4"/>
          <w:numId w:val="34"/>
        </w:numPr>
        <w:rPr>
          <w:rFonts w:ascii="Arial" w:hAnsi="Arial" w:cs="Arial"/>
          <w:bCs/>
          <w:lang w:val="fr-CA"/>
        </w:rPr>
      </w:pPr>
      <w:r w:rsidRPr="00C73E83">
        <w:rPr>
          <w:rFonts w:ascii="Arial" w:hAnsi="Arial" w:cs="Arial"/>
          <w:bCs/>
          <w:lang w:val="fr-CA"/>
        </w:rPr>
        <w:t>Si le PEX</w:t>
      </w:r>
      <w:r w:rsidR="00C24BF4" w:rsidRPr="00C73E83">
        <w:rPr>
          <w:rFonts w:ascii="Arial" w:hAnsi="Arial" w:cs="Arial"/>
          <w:bCs/>
          <w:lang w:val="fr-CA"/>
        </w:rPr>
        <w:t>-a</w:t>
      </w:r>
      <w:r w:rsidRPr="00C73E83">
        <w:rPr>
          <w:rFonts w:ascii="Arial" w:hAnsi="Arial" w:cs="Arial"/>
          <w:bCs/>
          <w:lang w:val="fr-CA"/>
        </w:rPr>
        <w:t xml:space="preserve"> est utilisé comme matériau de remplacement approuvé pour des applications où la base de la conception précise des tuyaux métalliques, le fabricant doit soumettre des dessins d'atelier indiquant clairement que la conception a été analysée et modifiée, selon les besoins, pour maintenir la pression et le débit requis. Toute conception de réseau entraînant une réduction de la pression en raison d'un dimensionnement ou d'une installation inadéquate sera rejetée.</w:t>
      </w:r>
    </w:p>
    <w:p w14:paraId="09A151A2" w14:textId="7381549E" w:rsidR="00C24BF4" w:rsidRPr="00C73E83" w:rsidRDefault="00C24BF4" w:rsidP="005A68AC">
      <w:pPr>
        <w:numPr>
          <w:ilvl w:val="3"/>
          <w:numId w:val="34"/>
        </w:numPr>
        <w:rPr>
          <w:rFonts w:ascii="Arial" w:hAnsi="Arial" w:cs="Arial"/>
          <w:bCs/>
          <w:lang w:val="fr-CA"/>
        </w:rPr>
      </w:pPr>
      <w:r w:rsidRPr="00C73E83">
        <w:rPr>
          <w:rFonts w:ascii="Arial" w:hAnsi="Arial" w:cs="Arial"/>
          <w:bCs/>
          <w:lang w:val="fr-CA"/>
        </w:rPr>
        <w:t xml:space="preserve">Exigences règlementaires : Les tuyaux et autres composants en PEX doivent être installés en conformité avec les codes, normes et exigences fédérales, provinciales et municipales. En particulier : </w:t>
      </w:r>
    </w:p>
    <w:p w14:paraId="3A98A7FC" w14:textId="77777777" w:rsidR="00FA5FBB" w:rsidRPr="00DD563B" w:rsidRDefault="00FA5FBB" w:rsidP="00FA5FBB">
      <w:pPr>
        <w:numPr>
          <w:ilvl w:val="4"/>
          <w:numId w:val="34"/>
        </w:numPr>
        <w:rPr>
          <w:rFonts w:ascii="Arial" w:hAnsi="Arial" w:cs="Arial"/>
          <w:bCs/>
          <w:lang w:val="fr-CA"/>
        </w:rPr>
      </w:pPr>
      <w:r w:rsidRPr="00DD563B">
        <w:rPr>
          <w:rFonts w:ascii="Arial" w:hAnsi="Arial" w:cs="Arial"/>
          <w:bCs/>
          <w:lang w:val="fr-CA"/>
        </w:rPr>
        <w:t>En conformité avec la norme CAN/ULC-S102.2, les tuyaux en PEX doivent avoir un indice de propagation des flammes maximal de 25 et un pouvoir fumigène maximal de 50.</w:t>
      </w:r>
    </w:p>
    <w:p w14:paraId="0D714C96" w14:textId="77777777" w:rsidR="00FA5FBB" w:rsidRPr="00DD563B" w:rsidRDefault="00FA5FBB" w:rsidP="00FA5FBB">
      <w:pPr>
        <w:numPr>
          <w:ilvl w:val="5"/>
          <w:numId w:val="34"/>
        </w:numPr>
        <w:rPr>
          <w:rFonts w:ascii="Arial" w:hAnsi="Arial" w:cs="Arial"/>
          <w:bCs/>
          <w:lang w:val="fr-CA"/>
        </w:rPr>
      </w:pPr>
      <w:r w:rsidRPr="00DD563B">
        <w:rPr>
          <w:rFonts w:ascii="Arial" w:hAnsi="Arial" w:cs="Arial"/>
          <w:bCs/>
          <w:lang w:val="fr-CA"/>
        </w:rPr>
        <w:t xml:space="preserve">Tel qu’indiqué à l’annexe Section A1.23 de la norme CAN/ULC S102, </w:t>
      </w:r>
      <w:r w:rsidRPr="00DD563B">
        <w:rPr>
          <w:rFonts w:ascii="Arial" w:hAnsi="Arial" w:cs="Arial"/>
          <w:bCs/>
          <w:lang w:val="fr-CA"/>
        </w:rPr>
        <w:br/>
        <w:t>« raccords et vannes en plastique », les raccords doivent être testés et homologués en étant installés sur un tuyau en plastique par une méthode représentative de l’installation sur le terrain.</w:t>
      </w:r>
    </w:p>
    <w:p w14:paraId="4E93C865" w14:textId="7999E272" w:rsidR="00FA5FBB" w:rsidRPr="00DD563B" w:rsidRDefault="00FA5FBB" w:rsidP="00FA5FBB">
      <w:pPr>
        <w:numPr>
          <w:ilvl w:val="5"/>
          <w:numId w:val="34"/>
        </w:numPr>
        <w:rPr>
          <w:rFonts w:ascii="Arial" w:hAnsi="Arial" w:cs="Arial"/>
          <w:bCs/>
          <w:lang w:val="fr-CA"/>
        </w:rPr>
      </w:pPr>
      <w:r w:rsidRPr="00DD563B">
        <w:rPr>
          <w:rFonts w:ascii="Arial" w:hAnsi="Arial" w:cs="Arial"/>
          <w:bCs/>
          <w:lang w:val="fr-CA"/>
        </w:rPr>
        <w:t>Les tuyaux, raccords et bagues PEX jusqu’à 2</w:t>
      </w:r>
      <w:r w:rsidR="00082C2B">
        <w:rPr>
          <w:rFonts w:ascii="Arial" w:hAnsi="Arial" w:cs="Arial"/>
          <w:bCs/>
          <w:lang w:val="fr-CA"/>
        </w:rPr>
        <w:t xml:space="preserve"> </w:t>
      </w:r>
      <w:proofErr w:type="gramStart"/>
      <w:r w:rsidR="00EF2B2B">
        <w:rPr>
          <w:rFonts w:ascii="Arial" w:hAnsi="Arial" w:cs="Arial"/>
          <w:bCs/>
          <w:lang w:val="fr-CA"/>
        </w:rPr>
        <w:t>pouce</w:t>
      </w:r>
      <w:proofErr w:type="gramEnd"/>
      <w:r w:rsidRPr="00DD563B">
        <w:rPr>
          <w:rFonts w:ascii="Arial" w:hAnsi="Arial" w:cs="Arial"/>
          <w:bCs/>
          <w:lang w:val="fr-CA"/>
        </w:rPr>
        <w:t xml:space="preserve"> doivent être homologués pour un indice de propagation des flammes maximal de 25 et un pouvoir fumigène maximal de 50, avec aucune exigence en matière d’espacement.</w:t>
      </w:r>
    </w:p>
    <w:p w14:paraId="167BA37C" w14:textId="7AC3C3FB" w:rsidR="00FA5FBB" w:rsidRPr="00DD563B" w:rsidRDefault="00FA5FBB" w:rsidP="00FA5FBB">
      <w:pPr>
        <w:numPr>
          <w:ilvl w:val="5"/>
          <w:numId w:val="34"/>
        </w:numPr>
        <w:rPr>
          <w:rFonts w:ascii="Arial" w:hAnsi="Arial" w:cs="Arial"/>
          <w:bCs/>
          <w:lang w:val="fr-CA"/>
        </w:rPr>
      </w:pPr>
      <w:r w:rsidRPr="00DD563B">
        <w:rPr>
          <w:rFonts w:ascii="Arial" w:hAnsi="Arial" w:cs="Arial"/>
          <w:bCs/>
          <w:lang w:val="fr-CA"/>
        </w:rPr>
        <w:t>Les tuyaux, raccords et bagues PEX jusqu’à 3</w:t>
      </w:r>
      <w:r w:rsidR="00082C2B">
        <w:rPr>
          <w:rFonts w:ascii="Arial" w:hAnsi="Arial" w:cs="Arial"/>
          <w:bCs/>
          <w:lang w:val="fr-CA"/>
        </w:rPr>
        <w:t xml:space="preserve"> </w:t>
      </w:r>
      <w:proofErr w:type="gramStart"/>
      <w:r w:rsidR="00FC5FC4">
        <w:rPr>
          <w:rFonts w:ascii="Arial" w:hAnsi="Arial" w:cs="Arial"/>
          <w:bCs/>
          <w:lang w:val="fr-CA"/>
        </w:rPr>
        <w:t>pouce</w:t>
      </w:r>
      <w:proofErr w:type="gramEnd"/>
      <w:r w:rsidRPr="00DD563B">
        <w:rPr>
          <w:rFonts w:ascii="Arial" w:hAnsi="Arial" w:cs="Arial"/>
          <w:bCs/>
          <w:lang w:val="fr-CA"/>
        </w:rPr>
        <w:t xml:space="preserve"> doivent être homologués pour un indice de propagation des flammes maximal de 25 et un indice de pouvoir fumigène maximal de 50 lorsque recouverts d’un isolant homologué.</w:t>
      </w:r>
    </w:p>
    <w:p w14:paraId="427F841D" w14:textId="34AAD592" w:rsidR="00B4387A" w:rsidRPr="00FA5FBB" w:rsidRDefault="00B4387A" w:rsidP="00FA5FBB">
      <w:pPr>
        <w:pStyle w:val="ListParagraph"/>
        <w:numPr>
          <w:ilvl w:val="3"/>
          <w:numId w:val="34"/>
        </w:numPr>
        <w:rPr>
          <w:rFonts w:ascii="Arial" w:hAnsi="Arial" w:cs="Arial"/>
          <w:bCs/>
          <w:lang w:val="fr-CA"/>
        </w:rPr>
      </w:pPr>
      <w:r w:rsidRPr="00FA5FBB">
        <w:rPr>
          <w:rFonts w:ascii="Arial" w:hAnsi="Arial" w:cs="Arial"/>
          <w:bCs/>
          <w:lang w:val="fr-CA"/>
        </w:rPr>
        <w:t>CAN/ULC S115 :</w:t>
      </w:r>
    </w:p>
    <w:p w14:paraId="30FC3044" w14:textId="6FE14A95" w:rsidR="00B4387A" w:rsidRPr="00FA5FBB" w:rsidRDefault="00B4387A" w:rsidP="00FA5FBB">
      <w:pPr>
        <w:numPr>
          <w:ilvl w:val="4"/>
          <w:numId w:val="34"/>
        </w:numPr>
        <w:rPr>
          <w:rFonts w:ascii="Arial" w:hAnsi="Arial" w:cs="Arial"/>
          <w:bCs/>
          <w:lang w:val="fr-CA"/>
        </w:rPr>
      </w:pPr>
      <w:r w:rsidRPr="00FA5FBB">
        <w:rPr>
          <w:rFonts w:ascii="Arial" w:hAnsi="Arial" w:cs="Arial"/>
          <w:bCs/>
          <w:lang w:val="fr-CA"/>
        </w:rPr>
        <w:lastRenderedPageBreak/>
        <w:t>En conformité avec la norme CAN/ULC-S115, tout tuyau en PEX traversant un cloisonnement coupe-feu doit être adéquatement scellé.</w:t>
      </w:r>
    </w:p>
    <w:p w14:paraId="55D4717A" w14:textId="12B9028B" w:rsidR="00B4387A" w:rsidRPr="00FA5FBB" w:rsidRDefault="00B4387A" w:rsidP="00FA5FBB">
      <w:pPr>
        <w:pStyle w:val="ListParagraph"/>
        <w:numPr>
          <w:ilvl w:val="3"/>
          <w:numId w:val="34"/>
        </w:numPr>
        <w:rPr>
          <w:rFonts w:ascii="Arial" w:hAnsi="Arial" w:cs="Arial"/>
          <w:bCs/>
          <w:lang w:val="fr-CA"/>
        </w:rPr>
      </w:pPr>
      <w:r w:rsidRPr="00FA5FBB">
        <w:rPr>
          <w:rFonts w:ascii="Arial" w:hAnsi="Arial" w:cs="Arial"/>
          <w:bCs/>
          <w:lang w:val="fr-CA"/>
        </w:rPr>
        <w:t>CAN/ULC S101 :</w:t>
      </w:r>
    </w:p>
    <w:p w14:paraId="521227D1" w14:textId="79F9B625" w:rsidR="00B4387A" w:rsidRPr="0017580C" w:rsidRDefault="00B4387A" w:rsidP="0017580C">
      <w:pPr>
        <w:numPr>
          <w:ilvl w:val="4"/>
          <w:numId w:val="34"/>
        </w:numPr>
        <w:rPr>
          <w:rFonts w:ascii="Arial" w:hAnsi="Arial" w:cs="Arial"/>
          <w:bCs/>
          <w:lang w:val="fr-CA"/>
        </w:rPr>
      </w:pPr>
      <w:r w:rsidRPr="0017580C">
        <w:rPr>
          <w:rFonts w:ascii="Arial" w:hAnsi="Arial" w:cs="Arial"/>
          <w:bCs/>
          <w:lang w:val="fr-CA"/>
        </w:rPr>
        <w:t>Tout tuyau en PEX installé dans un cloisonnement coupe-feu doit être homologué CAN/ULC-S101.</w:t>
      </w:r>
    </w:p>
    <w:p w14:paraId="1D8E563E" w14:textId="5FBE0D46" w:rsidR="00B4387A" w:rsidRPr="0017580C" w:rsidRDefault="00B4387A" w:rsidP="0017580C">
      <w:pPr>
        <w:numPr>
          <w:ilvl w:val="4"/>
          <w:numId w:val="34"/>
        </w:numPr>
        <w:rPr>
          <w:rFonts w:ascii="Arial" w:hAnsi="Arial" w:cs="Arial"/>
          <w:bCs/>
          <w:lang w:val="fr-CA"/>
        </w:rPr>
      </w:pPr>
      <w:r w:rsidRPr="0017580C">
        <w:rPr>
          <w:rFonts w:ascii="Arial" w:hAnsi="Arial" w:cs="Arial"/>
          <w:bCs/>
          <w:lang w:val="fr-CA"/>
        </w:rPr>
        <w:t xml:space="preserve">Tout boîtier d’alimentation pour </w:t>
      </w:r>
      <w:r w:rsidR="004A0608" w:rsidRPr="0017580C">
        <w:rPr>
          <w:rFonts w:ascii="Arial" w:hAnsi="Arial" w:cs="Arial"/>
          <w:bCs/>
          <w:lang w:val="fr-CA"/>
        </w:rPr>
        <w:t>machine</w:t>
      </w:r>
      <w:r w:rsidRPr="0017580C">
        <w:rPr>
          <w:rFonts w:ascii="Arial" w:hAnsi="Arial" w:cs="Arial"/>
          <w:bCs/>
          <w:lang w:val="fr-CA"/>
        </w:rPr>
        <w:t xml:space="preserve"> </w:t>
      </w:r>
      <w:r w:rsidR="004A0608" w:rsidRPr="0017580C">
        <w:rPr>
          <w:rFonts w:ascii="Arial" w:hAnsi="Arial" w:cs="Arial"/>
          <w:bCs/>
          <w:lang w:val="fr-CA"/>
        </w:rPr>
        <w:t>à</w:t>
      </w:r>
      <w:r w:rsidRPr="0017580C">
        <w:rPr>
          <w:rFonts w:ascii="Arial" w:hAnsi="Arial" w:cs="Arial"/>
          <w:bCs/>
          <w:lang w:val="fr-CA"/>
        </w:rPr>
        <w:t xml:space="preserve"> glace ou </w:t>
      </w:r>
      <w:r w:rsidR="004A0608" w:rsidRPr="0017580C">
        <w:rPr>
          <w:rFonts w:ascii="Arial" w:hAnsi="Arial" w:cs="Arial"/>
          <w:bCs/>
          <w:lang w:val="fr-CA"/>
        </w:rPr>
        <w:t>laveuse</w:t>
      </w:r>
      <w:r w:rsidRPr="0017580C">
        <w:rPr>
          <w:rFonts w:ascii="Arial" w:hAnsi="Arial" w:cs="Arial"/>
          <w:bCs/>
          <w:lang w:val="fr-CA"/>
        </w:rPr>
        <w:t xml:space="preserve"> installé dans un cloisonnement coupe-feu doit être homologué CAN/ULC-S101.</w:t>
      </w:r>
    </w:p>
    <w:p w14:paraId="6A4601E9" w14:textId="6A016442" w:rsidR="00B4387A" w:rsidRPr="00C73E83" w:rsidRDefault="00B4387A" w:rsidP="005A68AC">
      <w:pPr>
        <w:numPr>
          <w:ilvl w:val="3"/>
          <w:numId w:val="34"/>
        </w:numPr>
        <w:rPr>
          <w:rFonts w:ascii="Arial" w:hAnsi="Arial" w:cs="Arial"/>
          <w:bCs/>
          <w:lang w:val="fr-CA"/>
        </w:rPr>
      </w:pPr>
      <w:r w:rsidRPr="00C73E83">
        <w:rPr>
          <w:rFonts w:ascii="Arial" w:hAnsi="Arial" w:cs="Arial"/>
          <w:lang w:val="fr-CA"/>
        </w:rPr>
        <w:t>Rencontres avant l’installation : Organiser des rencontres préparatoires pour vérifier les exigences du projet, les conditions du substrat, les couvre-planchers, les directives d’installation du fabricant et les exigences de garantie du fabricant. Consulter la section sur la gestion et la coordination de projet (Division 1) (« rencontres préparatoires »).</w:t>
      </w:r>
    </w:p>
    <w:p w14:paraId="7C7B7D9B" w14:textId="33C5D3B3" w:rsidR="00B4387A" w:rsidRPr="00C73E83" w:rsidRDefault="00B4387A" w:rsidP="00721968">
      <w:pPr>
        <w:numPr>
          <w:ilvl w:val="2"/>
          <w:numId w:val="34"/>
        </w:numPr>
        <w:spacing w:after="240"/>
        <w:rPr>
          <w:rFonts w:ascii="Arial" w:hAnsi="Arial" w:cs="Arial"/>
          <w:bCs/>
          <w:lang w:val="fr-CA"/>
        </w:rPr>
      </w:pPr>
      <w:r w:rsidRPr="00C73E83">
        <w:rPr>
          <w:rFonts w:ascii="Arial" w:hAnsi="Arial" w:cs="Arial"/>
          <w:bCs/>
          <w:lang w:val="fr-CA"/>
        </w:rPr>
        <w:t xml:space="preserve">Tous les calculs sont effectués avec les raccords </w:t>
      </w:r>
      <w:proofErr w:type="spellStart"/>
      <w:r w:rsidRPr="00C73E83">
        <w:rPr>
          <w:rFonts w:ascii="Arial" w:hAnsi="Arial" w:cs="Arial"/>
          <w:bCs/>
          <w:lang w:val="fr-CA"/>
        </w:rPr>
        <w:t>Uponor</w:t>
      </w:r>
      <w:proofErr w:type="spellEnd"/>
      <w:r w:rsidRPr="00C73E83">
        <w:rPr>
          <w:rFonts w:ascii="Arial" w:hAnsi="Arial" w:cs="Arial"/>
          <w:bCs/>
          <w:lang w:val="fr-CA"/>
        </w:rPr>
        <w:t xml:space="preserve"> ProPEX</w:t>
      </w:r>
      <w:r w:rsidRPr="00C73E83">
        <w:rPr>
          <w:rFonts w:ascii="Arial" w:hAnsi="Arial" w:cs="Arial"/>
          <w:bCs/>
          <w:vertAlign w:val="superscript"/>
          <w:lang w:val="fr-CA"/>
        </w:rPr>
        <w:t>®</w:t>
      </w:r>
      <w:r w:rsidRPr="00C73E83">
        <w:rPr>
          <w:rFonts w:ascii="Arial" w:hAnsi="Arial" w:cs="Arial"/>
          <w:bCs/>
          <w:lang w:val="fr-CA"/>
        </w:rPr>
        <w:t xml:space="preserve"> de type ASTM F1960. Si un autre type de raccord est utilisé, l'entrepreneur doit fournir un rapport de calculs afin de tenir compte des différentes caractéristiques de débit.</w:t>
      </w:r>
    </w:p>
    <w:p w14:paraId="227511B2" w14:textId="7E36F350" w:rsidR="00876525" w:rsidRPr="00C73E83" w:rsidRDefault="00263F49" w:rsidP="00FA5FBB">
      <w:pPr>
        <w:numPr>
          <w:ilvl w:val="1"/>
          <w:numId w:val="2"/>
        </w:numPr>
        <w:spacing w:after="240"/>
        <w:ind w:left="0" w:firstLine="0"/>
        <w:rPr>
          <w:rFonts w:ascii="Arial" w:hAnsi="Arial" w:cs="Arial"/>
          <w:b/>
          <w:lang w:val="fr-CA"/>
        </w:rPr>
      </w:pPr>
      <w:r w:rsidRPr="00C73E83">
        <w:rPr>
          <w:rFonts w:ascii="Arial" w:hAnsi="Arial" w:cs="Arial"/>
          <w:b/>
          <w:lang w:val="fr-CA"/>
        </w:rPr>
        <w:t>LIVRAISON, ENTREPOSAGE ET MANUTENTION</w:t>
      </w:r>
    </w:p>
    <w:p w14:paraId="6B58B586" w14:textId="77777777" w:rsidR="00B4387A" w:rsidRPr="00C73E83" w:rsidRDefault="00B4387A" w:rsidP="00FA5FBB">
      <w:pPr>
        <w:numPr>
          <w:ilvl w:val="2"/>
          <w:numId w:val="35"/>
        </w:numPr>
        <w:rPr>
          <w:rFonts w:ascii="Arial" w:hAnsi="Arial" w:cs="Arial"/>
          <w:bCs/>
          <w:lang w:val="fr-CA"/>
        </w:rPr>
      </w:pPr>
      <w:r w:rsidRPr="00C73E83">
        <w:rPr>
          <w:rFonts w:ascii="Arial" w:hAnsi="Arial" w:cs="Arial"/>
          <w:bCs/>
          <w:lang w:val="fr-CA"/>
        </w:rPr>
        <w:t>Général : Se conformer aux sections sur les exigences relatives aux produits (Division 1).</w:t>
      </w:r>
    </w:p>
    <w:p w14:paraId="4538D3C9" w14:textId="77777777" w:rsidR="00B4387A" w:rsidRPr="00C73E83" w:rsidRDefault="00B4387A" w:rsidP="00FA5FBB">
      <w:pPr>
        <w:numPr>
          <w:ilvl w:val="2"/>
          <w:numId w:val="35"/>
        </w:numPr>
        <w:rPr>
          <w:rFonts w:ascii="Arial" w:hAnsi="Arial" w:cs="Arial"/>
          <w:bCs/>
          <w:lang w:val="fr-CA"/>
        </w:rPr>
      </w:pPr>
      <w:r w:rsidRPr="00C73E83">
        <w:rPr>
          <w:rFonts w:ascii="Arial" w:hAnsi="Arial" w:cs="Arial"/>
          <w:bCs/>
          <w:lang w:val="fr-CA"/>
        </w:rPr>
        <w:t>Commandes : Respecter les directives du fabricant pour passer des commandes et tenir compte des délais indiqués afin d’éviter les retards de construction.</w:t>
      </w:r>
    </w:p>
    <w:p w14:paraId="30219479" w14:textId="77777777" w:rsidR="00B4387A" w:rsidRPr="00C73E83" w:rsidRDefault="00B4387A" w:rsidP="00FA5FBB">
      <w:pPr>
        <w:numPr>
          <w:ilvl w:val="2"/>
          <w:numId w:val="35"/>
        </w:numPr>
        <w:rPr>
          <w:rFonts w:ascii="Arial" w:hAnsi="Arial" w:cs="Arial"/>
          <w:bCs/>
          <w:lang w:val="fr-CA"/>
        </w:rPr>
      </w:pPr>
      <w:r w:rsidRPr="00C73E83">
        <w:rPr>
          <w:rFonts w:ascii="Arial" w:hAnsi="Arial" w:cs="Arial"/>
          <w:bCs/>
          <w:lang w:val="fr-CA"/>
        </w:rPr>
        <w:t>Livraison : Livrer les matériaux au chantier dans l’emballage d’origine du fabricant, sans manutention ni dommages, avec étiquettes intactes.</w:t>
      </w:r>
    </w:p>
    <w:p w14:paraId="1349A041" w14:textId="77777777" w:rsidR="00B4387A" w:rsidRPr="00C73E83" w:rsidRDefault="00B4387A" w:rsidP="00FA5FBB">
      <w:pPr>
        <w:numPr>
          <w:ilvl w:val="2"/>
          <w:numId w:val="35"/>
        </w:numPr>
        <w:rPr>
          <w:rFonts w:ascii="Arial" w:hAnsi="Arial" w:cs="Arial"/>
          <w:bCs/>
          <w:lang w:val="fr-CA"/>
        </w:rPr>
      </w:pPr>
      <w:r w:rsidRPr="00C73E83">
        <w:rPr>
          <w:rFonts w:ascii="Arial" w:hAnsi="Arial" w:cs="Arial"/>
          <w:bCs/>
          <w:lang w:val="fr-CA"/>
        </w:rPr>
        <w:t>Entreposage et protection : Entreposer les matériaux dans un endroit protégé de l’exposition au climat et aux conditions du chantier.</w:t>
      </w:r>
    </w:p>
    <w:p w14:paraId="0A959D3B" w14:textId="26BDD826" w:rsidR="00B4387A" w:rsidRPr="00C73E83" w:rsidRDefault="00B4387A" w:rsidP="00FA5FBB">
      <w:pPr>
        <w:numPr>
          <w:ilvl w:val="3"/>
          <w:numId w:val="35"/>
        </w:numPr>
        <w:rPr>
          <w:rFonts w:ascii="Arial" w:hAnsi="Arial" w:cs="Arial"/>
          <w:bCs/>
          <w:lang w:val="fr-CA"/>
        </w:rPr>
      </w:pPr>
      <w:r w:rsidRPr="00C73E83">
        <w:rPr>
          <w:rFonts w:ascii="Arial" w:hAnsi="Arial" w:cs="Arial"/>
          <w:bCs/>
          <w:lang w:val="fr-CA"/>
        </w:rPr>
        <w:t>Entreposer les tuyaux en PEX dans leur emballage d’origine ou recouverts pour les protéger de la poussière, de l’introduction d’autres matériaux</w:t>
      </w:r>
      <w:r w:rsidRPr="00C73E83">
        <w:rPr>
          <w:lang w:val="fr-FR"/>
        </w:rPr>
        <w:t xml:space="preserve"> </w:t>
      </w:r>
      <w:r w:rsidRPr="00C73E83">
        <w:rPr>
          <w:rFonts w:ascii="Arial" w:hAnsi="Arial" w:cs="Arial"/>
          <w:bCs/>
          <w:lang w:val="fr-FR"/>
        </w:rPr>
        <w:t>et des rayons UV.</w:t>
      </w:r>
    </w:p>
    <w:p w14:paraId="4DDD19DF" w14:textId="554B3764" w:rsidR="00B4387A" w:rsidRPr="00C73E83" w:rsidRDefault="00B4387A" w:rsidP="0017580C">
      <w:pPr>
        <w:numPr>
          <w:ilvl w:val="3"/>
          <w:numId w:val="35"/>
        </w:numPr>
        <w:spacing w:after="240"/>
        <w:rPr>
          <w:rFonts w:ascii="Arial" w:hAnsi="Arial" w:cs="Arial"/>
          <w:bCs/>
          <w:lang w:val="fr-CA"/>
        </w:rPr>
      </w:pPr>
      <w:r w:rsidRPr="00C73E83">
        <w:rPr>
          <w:rFonts w:ascii="Arial" w:hAnsi="Arial" w:cs="Arial"/>
          <w:bCs/>
          <w:lang w:val="fr-FR"/>
        </w:rPr>
        <w:t xml:space="preserve">N'exposez pas les tuyaux en PEX blancs </w:t>
      </w:r>
      <w:r w:rsidRPr="00C73E83">
        <w:rPr>
          <w:rFonts w:ascii="Arial" w:hAnsi="Arial" w:cs="Arial"/>
          <w:bCs/>
          <w:lang w:val="fr-CA"/>
        </w:rPr>
        <w:t>directement au soleil ou à d’autres sources de rayons UV pendant plus de 30 jours</w:t>
      </w:r>
      <w:r w:rsidRPr="00C73E83">
        <w:rPr>
          <w:rFonts w:ascii="Arial" w:hAnsi="Arial" w:cs="Arial"/>
          <w:bCs/>
          <w:lang w:val="fr-FR"/>
        </w:rPr>
        <w:t xml:space="preserve">, ou 6 mois dans le cas des tuyaux en PEX rouges et bleus. </w:t>
      </w:r>
      <w:r w:rsidRPr="00C73E83">
        <w:rPr>
          <w:rFonts w:ascii="Arial" w:hAnsi="Arial" w:cs="Arial"/>
          <w:bCs/>
          <w:lang w:val="fr-CA"/>
        </w:rPr>
        <w:t>S’il y a des retards de construction, l’installateur est responsable de fournir une protection UV adéquate pour les parties exposées de la tuyauterie.</w:t>
      </w:r>
    </w:p>
    <w:p w14:paraId="3F5224F3" w14:textId="53931AB5" w:rsidR="00876525" w:rsidRPr="00C73E83" w:rsidRDefault="00263F49" w:rsidP="0017580C">
      <w:pPr>
        <w:numPr>
          <w:ilvl w:val="1"/>
          <w:numId w:val="2"/>
        </w:numPr>
        <w:spacing w:after="240"/>
        <w:ind w:left="0" w:firstLine="0"/>
        <w:rPr>
          <w:rFonts w:ascii="Arial" w:hAnsi="Arial" w:cs="Arial"/>
          <w:b/>
          <w:lang w:val="fr-CA"/>
        </w:rPr>
      </w:pPr>
      <w:r w:rsidRPr="00C73E83">
        <w:rPr>
          <w:rFonts w:ascii="Arial" w:hAnsi="Arial" w:cs="Arial"/>
          <w:b/>
          <w:lang w:val="fr-CA"/>
        </w:rPr>
        <w:t>GARANTIE</w:t>
      </w:r>
    </w:p>
    <w:p w14:paraId="61209EED" w14:textId="77777777" w:rsidR="00B4387A" w:rsidRPr="00C73E83" w:rsidRDefault="00B4387A" w:rsidP="0017580C">
      <w:pPr>
        <w:numPr>
          <w:ilvl w:val="2"/>
          <w:numId w:val="36"/>
        </w:numPr>
        <w:rPr>
          <w:rFonts w:ascii="Arial" w:hAnsi="Arial" w:cs="Arial"/>
          <w:bCs/>
          <w:lang w:val="fr-CA"/>
        </w:rPr>
      </w:pPr>
      <w:r w:rsidRPr="00C73E83">
        <w:rPr>
          <w:rFonts w:ascii="Arial" w:hAnsi="Arial" w:cs="Arial"/>
          <w:bCs/>
          <w:lang w:val="fr-CA"/>
        </w:rPr>
        <w:t>Garantie du projet : Consulter les conditions du contrat pour les conditions de la garantie.</w:t>
      </w:r>
    </w:p>
    <w:p w14:paraId="3B7DC4E9" w14:textId="77777777" w:rsidR="00B4387A" w:rsidRPr="00C73E83" w:rsidRDefault="00B4387A" w:rsidP="0017580C">
      <w:pPr>
        <w:numPr>
          <w:ilvl w:val="2"/>
          <w:numId w:val="36"/>
        </w:numPr>
        <w:rPr>
          <w:rFonts w:ascii="Arial" w:hAnsi="Arial" w:cs="Arial"/>
          <w:bCs/>
          <w:lang w:val="fr-CA"/>
        </w:rPr>
      </w:pPr>
      <w:r w:rsidRPr="00C73E83">
        <w:rPr>
          <w:rFonts w:ascii="Arial" w:hAnsi="Arial" w:cs="Arial"/>
          <w:bCs/>
          <w:lang w:val="fr-CA"/>
        </w:rPr>
        <w:t>Garantie du fabricant des produits en PEX : La garantie doit respecter les conditions suivantes :</w:t>
      </w:r>
    </w:p>
    <w:p w14:paraId="62F7FE2D" w14:textId="76BC127A" w:rsidR="00B4387A" w:rsidRPr="00C73E83" w:rsidRDefault="00B4387A" w:rsidP="00DB7A78">
      <w:pPr>
        <w:numPr>
          <w:ilvl w:val="3"/>
          <w:numId w:val="36"/>
        </w:numPr>
        <w:rPr>
          <w:rFonts w:ascii="Arial" w:hAnsi="Arial" w:cs="Arial"/>
          <w:bCs/>
          <w:lang w:val="fr-CA"/>
        </w:rPr>
      </w:pPr>
      <w:r w:rsidRPr="00C73E83">
        <w:rPr>
          <w:rFonts w:ascii="Arial" w:hAnsi="Arial" w:cs="Arial"/>
          <w:bCs/>
          <w:lang w:val="fr-CA"/>
        </w:rPr>
        <w:t>Les tuyaux AquaPEX</w:t>
      </w:r>
      <w:r w:rsidRPr="00C73E83">
        <w:rPr>
          <w:rFonts w:ascii="Arial" w:hAnsi="Arial" w:cs="Arial"/>
          <w:bCs/>
          <w:vertAlign w:val="superscript"/>
          <w:lang w:val="fr-CA"/>
        </w:rPr>
        <w:t>®</w:t>
      </w:r>
      <w:r w:rsidRPr="00C73E83">
        <w:rPr>
          <w:rFonts w:ascii="Arial" w:hAnsi="Arial" w:cs="Arial"/>
          <w:bCs/>
          <w:lang w:val="fr-CA"/>
        </w:rPr>
        <w:t xml:space="preserve"> et les raccords ProPEX</w:t>
      </w:r>
      <w:r w:rsidRPr="00C73E83">
        <w:rPr>
          <w:rFonts w:ascii="Arial" w:hAnsi="Arial" w:cs="Arial"/>
          <w:bCs/>
          <w:vertAlign w:val="superscript"/>
          <w:lang w:val="fr-CA"/>
        </w:rPr>
        <w:t xml:space="preserve">® </w:t>
      </w:r>
      <w:r w:rsidRPr="00C73E83">
        <w:rPr>
          <w:rFonts w:ascii="Arial" w:hAnsi="Arial" w:cs="Arial"/>
          <w:bCs/>
          <w:lang w:val="fr-CA"/>
        </w:rPr>
        <w:t xml:space="preserve">doivent être garantis sans prorata pendant 25 ans contre tout défaut de matériau ou de fabrication, lorsqu’ils sont utilisés uniquement avec d’autres produits </w:t>
      </w:r>
      <w:proofErr w:type="spellStart"/>
      <w:r w:rsidRPr="00C73E83">
        <w:rPr>
          <w:rFonts w:ascii="Arial" w:hAnsi="Arial" w:cs="Arial"/>
          <w:bCs/>
          <w:lang w:val="fr-CA"/>
        </w:rPr>
        <w:t>Uponor</w:t>
      </w:r>
      <w:proofErr w:type="spellEnd"/>
      <w:r w:rsidRPr="00C73E83">
        <w:rPr>
          <w:rFonts w:ascii="Arial" w:hAnsi="Arial" w:cs="Arial"/>
          <w:bCs/>
          <w:lang w:val="fr-CA"/>
        </w:rPr>
        <w:t>.</w:t>
      </w:r>
    </w:p>
    <w:p w14:paraId="65D417E2" w14:textId="33B3F2DF" w:rsidR="00B4387A" w:rsidRPr="00C73E83" w:rsidRDefault="00B4387A" w:rsidP="002973FB">
      <w:pPr>
        <w:numPr>
          <w:ilvl w:val="3"/>
          <w:numId w:val="36"/>
        </w:numPr>
        <w:rPr>
          <w:rFonts w:ascii="Arial" w:hAnsi="Arial" w:cs="Arial"/>
          <w:bCs/>
          <w:lang w:val="fr-CA"/>
        </w:rPr>
      </w:pPr>
      <w:r w:rsidRPr="00C73E83">
        <w:rPr>
          <w:rFonts w:ascii="Arial" w:hAnsi="Arial" w:cs="Arial"/>
          <w:bCs/>
          <w:lang w:val="fr-CA"/>
        </w:rPr>
        <w:t>Les vannes et les robinets d'arrêt fournis par le fabricant des tuyaux doivent être garantis sans prorata pendant 5 ans contre tout défaut de matériau ou de fabrication.</w:t>
      </w:r>
    </w:p>
    <w:p w14:paraId="7839DDC8" w14:textId="719EDEDE" w:rsidR="00CA31F7" w:rsidRPr="00C73E83" w:rsidRDefault="00CA31F7" w:rsidP="002973FB">
      <w:pPr>
        <w:numPr>
          <w:ilvl w:val="3"/>
          <w:numId w:val="36"/>
        </w:numPr>
        <w:rPr>
          <w:rFonts w:ascii="Arial" w:hAnsi="Arial" w:cs="Arial"/>
          <w:bCs/>
          <w:lang w:val="fr-CA"/>
        </w:rPr>
      </w:pPr>
      <w:r w:rsidRPr="00C73E83">
        <w:rPr>
          <w:rFonts w:ascii="Arial" w:hAnsi="Arial" w:cs="Arial"/>
          <w:bCs/>
          <w:lang w:val="fr-CA"/>
        </w:rPr>
        <w:t xml:space="preserve">Les </w:t>
      </w:r>
      <w:r w:rsidR="002202AB" w:rsidRPr="00C73E83">
        <w:rPr>
          <w:rFonts w:ascii="Arial" w:hAnsi="Arial" w:cs="Arial"/>
          <w:bCs/>
          <w:lang w:val="fr-CA"/>
        </w:rPr>
        <w:t xml:space="preserve">ensembles </w:t>
      </w:r>
      <w:r w:rsidRPr="00C73E83">
        <w:rPr>
          <w:rFonts w:ascii="Arial" w:hAnsi="Arial" w:cs="Arial"/>
          <w:bCs/>
          <w:lang w:val="fr-CA"/>
        </w:rPr>
        <w:t>composés de tuyaux</w:t>
      </w:r>
      <w:r w:rsidR="002202AB" w:rsidRPr="00C73E83">
        <w:rPr>
          <w:rFonts w:ascii="Arial" w:hAnsi="Arial" w:cs="Arial"/>
          <w:bCs/>
          <w:lang w:val="fr-CA"/>
        </w:rPr>
        <w:t xml:space="preserve">, </w:t>
      </w:r>
      <w:r w:rsidRPr="00C73E83">
        <w:rPr>
          <w:rFonts w:ascii="Arial" w:hAnsi="Arial" w:cs="Arial"/>
          <w:bCs/>
          <w:lang w:val="fr-CA"/>
        </w:rPr>
        <w:t xml:space="preserve">raccords </w:t>
      </w:r>
      <w:r w:rsidR="002202AB" w:rsidRPr="00C73E83">
        <w:rPr>
          <w:rFonts w:ascii="Arial" w:hAnsi="Arial" w:cs="Arial"/>
          <w:bCs/>
          <w:lang w:val="fr-CA"/>
        </w:rPr>
        <w:t xml:space="preserve">et bagues </w:t>
      </w:r>
      <w:r w:rsidRPr="00C73E83">
        <w:rPr>
          <w:rFonts w:ascii="Arial" w:hAnsi="Arial" w:cs="Arial"/>
          <w:bCs/>
          <w:lang w:val="fr-CA"/>
        </w:rPr>
        <w:t>du fabricant doivent être garantis sans prorata pendant 25 ans contre tout défaut d’étanchéité.</w:t>
      </w:r>
    </w:p>
    <w:p w14:paraId="48941C7A" w14:textId="2DB38C51" w:rsidR="002202AB" w:rsidRPr="00C73E83" w:rsidRDefault="002202AB" w:rsidP="002973FB">
      <w:pPr>
        <w:numPr>
          <w:ilvl w:val="3"/>
          <w:numId w:val="36"/>
        </w:numPr>
        <w:rPr>
          <w:rFonts w:ascii="Arial" w:hAnsi="Arial" w:cs="Arial"/>
          <w:bCs/>
          <w:lang w:val="fr-CA"/>
        </w:rPr>
      </w:pPr>
      <w:r w:rsidRPr="00C73E83">
        <w:rPr>
          <w:rFonts w:ascii="Arial" w:hAnsi="Arial" w:cs="Arial"/>
          <w:bCs/>
          <w:lang w:val="fr-CA"/>
        </w:rPr>
        <w:t>Garantie applicable avec l’utilisation de produits d’autres fabricants :</w:t>
      </w:r>
    </w:p>
    <w:p w14:paraId="0AEBAFF3" w14:textId="26AF7400" w:rsidR="002202AB" w:rsidRPr="00C73E83" w:rsidRDefault="002202AB" w:rsidP="0017580C">
      <w:pPr>
        <w:numPr>
          <w:ilvl w:val="4"/>
          <w:numId w:val="36"/>
        </w:numPr>
        <w:rPr>
          <w:rFonts w:ascii="Arial" w:hAnsi="Arial" w:cs="Arial"/>
          <w:bCs/>
          <w:lang w:val="fr-CA"/>
        </w:rPr>
      </w:pPr>
      <w:r w:rsidRPr="00C73E83">
        <w:rPr>
          <w:rFonts w:ascii="Arial" w:hAnsi="Arial" w:cs="Arial"/>
          <w:bCs/>
          <w:lang w:val="fr-CA"/>
        </w:rPr>
        <w:t>Les tuyaux AquaPEX</w:t>
      </w:r>
      <w:r w:rsidRPr="00C73E83">
        <w:rPr>
          <w:rFonts w:ascii="Arial" w:hAnsi="Arial" w:cs="Arial"/>
          <w:bCs/>
          <w:vertAlign w:val="superscript"/>
          <w:lang w:val="fr-CA"/>
        </w:rPr>
        <w:t>®</w:t>
      </w:r>
      <w:r w:rsidRPr="00C73E83">
        <w:rPr>
          <w:rFonts w:ascii="Arial" w:hAnsi="Arial" w:cs="Arial"/>
          <w:bCs/>
          <w:lang w:val="fr-CA"/>
        </w:rPr>
        <w:t xml:space="preserve"> doivent être garantis pendant 10 ans lorsqu’ils sont utilisés avec des raccords d’autres fabricants.</w:t>
      </w:r>
    </w:p>
    <w:p w14:paraId="0EC9C00B" w14:textId="5AECA73E" w:rsidR="002202AB" w:rsidRPr="00C73E83" w:rsidRDefault="002202AB" w:rsidP="0017580C">
      <w:pPr>
        <w:numPr>
          <w:ilvl w:val="4"/>
          <w:numId w:val="36"/>
        </w:numPr>
        <w:rPr>
          <w:rFonts w:ascii="Arial" w:hAnsi="Arial" w:cs="Arial"/>
          <w:bCs/>
          <w:lang w:val="fr-CA"/>
        </w:rPr>
      </w:pPr>
      <w:r w:rsidRPr="00C73E83">
        <w:rPr>
          <w:rFonts w:ascii="Arial" w:hAnsi="Arial" w:cs="Arial"/>
          <w:bCs/>
          <w:lang w:val="fr-CA"/>
        </w:rPr>
        <w:t>Les raccords ProPEX</w:t>
      </w:r>
      <w:r w:rsidRPr="00C73E83">
        <w:rPr>
          <w:rFonts w:ascii="Arial" w:hAnsi="Arial" w:cs="Arial"/>
          <w:bCs/>
          <w:vertAlign w:val="superscript"/>
          <w:lang w:val="fr-CA"/>
        </w:rPr>
        <w:t xml:space="preserve">® </w:t>
      </w:r>
      <w:r w:rsidRPr="00C73E83">
        <w:rPr>
          <w:rFonts w:ascii="Arial" w:hAnsi="Arial" w:cs="Arial"/>
          <w:bCs/>
          <w:lang w:val="fr-CA"/>
        </w:rPr>
        <w:t>doivent être garantis sans prorata pendant 1 an lorsqu’ils sont utilisés avec des tuyaux d’autres fabricants.</w:t>
      </w:r>
    </w:p>
    <w:p w14:paraId="609D29CF" w14:textId="77777777" w:rsidR="00B4387A" w:rsidRPr="00C73E83" w:rsidRDefault="00B4387A" w:rsidP="0017580C">
      <w:pPr>
        <w:numPr>
          <w:ilvl w:val="3"/>
          <w:numId w:val="36"/>
        </w:numPr>
        <w:rPr>
          <w:rFonts w:ascii="Arial" w:hAnsi="Arial" w:cs="Arial"/>
          <w:bCs/>
          <w:lang w:val="fr-CA"/>
        </w:rPr>
      </w:pPr>
      <w:r w:rsidRPr="00C73E83">
        <w:rPr>
          <w:rFonts w:ascii="Arial" w:hAnsi="Arial" w:cs="Arial"/>
          <w:lang w:val="fr-CA"/>
        </w:rPr>
        <w:t xml:space="preserve">La garantie couvre la réparation ou le remplacement de tout tuyau ou raccord dont la défectuosité est démontrée, ainsi que les dommages causés par ledit défaut. </w:t>
      </w:r>
    </w:p>
    <w:p w14:paraId="0859C2EB" w14:textId="77777777" w:rsidR="00B4387A" w:rsidRPr="00C73E83" w:rsidRDefault="00B4387A" w:rsidP="0017580C">
      <w:pPr>
        <w:numPr>
          <w:ilvl w:val="3"/>
          <w:numId w:val="36"/>
        </w:numPr>
        <w:rPr>
          <w:rFonts w:ascii="Arial" w:hAnsi="Arial" w:cs="Arial"/>
          <w:bCs/>
          <w:lang w:val="fr-CA"/>
        </w:rPr>
      </w:pPr>
      <w:r w:rsidRPr="00C73E83">
        <w:rPr>
          <w:rFonts w:ascii="Arial" w:hAnsi="Arial" w:cs="Arial"/>
          <w:bCs/>
          <w:lang w:val="fr-CA"/>
        </w:rPr>
        <w:lastRenderedPageBreak/>
        <w:t>La garantie est transférable aux propriétaires suivants.</w:t>
      </w:r>
    </w:p>
    <w:p w14:paraId="6B4D0992" w14:textId="77777777" w:rsidR="00B4387A" w:rsidRPr="00C73E83" w:rsidRDefault="00B4387A" w:rsidP="0017580C">
      <w:pPr>
        <w:numPr>
          <w:ilvl w:val="3"/>
          <w:numId w:val="36"/>
        </w:numPr>
        <w:rPr>
          <w:rFonts w:ascii="Arial" w:hAnsi="Arial" w:cs="Arial"/>
          <w:bCs/>
          <w:lang w:val="fr-CA"/>
        </w:rPr>
      </w:pPr>
      <w:r w:rsidRPr="00C73E83">
        <w:rPr>
          <w:rFonts w:ascii="Arial" w:hAnsi="Arial" w:cs="Arial"/>
          <w:bCs/>
          <w:lang w:val="fr-CA"/>
        </w:rPr>
        <w:t>Garantie applicable : Garantie du fabricant en vigueur au moment de l'installation.</w:t>
      </w:r>
    </w:p>
    <w:p w14:paraId="5062F273" w14:textId="5A2C29D0" w:rsidR="00B4387A" w:rsidRPr="00C73E83" w:rsidRDefault="00B4387A" w:rsidP="0017580C">
      <w:pPr>
        <w:numPr>
          <w:ilvl w:val="3"/>
          <w:numId w:val="36"/>
        </w:numPr>
        <w:rPr>
          <w:rFonts w:ascii="Arial" w:hAnsi="Arial" w:cs="Arial"/>
          <w:bCs/>
          <w:lang w:val="fr-CA"/>
        </w:rPr>
      </w:pPr>
      <w:r w:rsidRPr="00C73E83">
        <w:rPr>
          <w:rFonts w:ascii="Arial" w:hAnsi="Arial" w:cs="Arial"/>
          <w:bCs/>
          <w:lang w:val="fr-CA"/>
        </w:rPr>
        <w:t>Période de garantie : La garantie prend effet à la date d'installation des produits.</w:t>
      </w:r>
    </w:p>
    <w:p w14:paraId="52EBA98A" w14:textId="22E31A5A" w:rsidR="00876525" w:rsidRPr="00C73E83" w:rsidRDefault="00EF7057" w:rsidP="0017580C">
      <w:pPr>
        <w:numPr>
          <w:ilvl w:val="0"/>
          <w:numId w:val="36"/>
        </w:numPr>
        <w:spacing w:before="240" w:after="240"/>
        <w:rPr>
          <w:rFonts w:ascii="Arial" w:hAnsi="Arial" w:cs="Arial"/>
          <w:bCs/>
          <w:lang w:val="fr-CA"/>
        </w:rPr>
      </w:pPr>
      <w:r w:rsidRPr="00C73E83">
        <w:rPr>
          <w:rFonts w:ascii="Arial" w:hAnsi="Arial" w:cs="Arial"/>
          <w:b/>
          <w:bCs/>
          <w:lang w:val="fr-CA"/>
        </w:rPr>
        <w:t>PRO</w:t>
      </w:r>
      <w:r w:rsidR="00263F49" w:rsidRPr="00C73E83">
        <w:rPr>
          <w:rFonts w:ascii="Arial" w:hAnsi="Arial" w:cs="Arial"/>
          <w:b/>
          <w:bCs/>
          <w:lang w:val="fr-CA"/>
        </w:rPr>
        <w:t>DUITS ET MATÉRIAUX</w:t>
      </w:r>
    </w:p>
    <w:p w14:paraId="2A36BFFE" w14:textId="1877F695" w:rsidR="00F70DDC" w:rsidRPr="00C73E83" w:rsidRDefault="00263F49" w:rsidP="00345CE6">
      <w:pPr>
        <w:numPr>
          <w:ilvl w:val="1"/>
          <w:numId w:val="3"/>
        </w:numPr>
        <w:spacing w:after="240"/>
        <w:rPr>
          <w:rFonts w:ascii="Arial" w:hAnsi="Arial" w:cs="Arial"/>
          <w:b/>
          <w:lang w:val="fr-CA"/>
        </w:rPr>
      </w:pPr>
      <w:r w:rsidRPr="00C73E83">
        <w:rPr>
          <w:rFonts w:ascii="Arial" w:hAnsi="Arial" w:cs="Arial"/>
          <w:b/>
          <w:lang w:val="fr-CA"/>
        </w:rPr>
        <w:t>FABRICANTS</w:t>
      </w:r>
    </w:p>
    <w:p w14:paraId="250FCE28" w14:textId="7275543B" w:rsidR="002202AB" w:rsidRPr="00C73E83" w:rsidRDefault="002202AB" w:rsidP="0017580C">
      <w:pPr>
        <w:numPr>
          <w:ilvl w:val="2"/>
          <w:numId w:val="36"/>
        </w:numPr>
        <w:rPr>
          <w:rFonts w:ascii="Arial" w:hAnsi="Arial" w:cs="Arial"/>
          <w:bCs/>
          <w:lang w:val="fr-CA"/>
        </w:rPr>
      </w:pPr>
      <w:r w:rsidRPr="00C73E83">
        <w:rPr>
          <w:rFonts w:ascii="Arial" w:hAnsi="Arial" w:cs="Arial"/>
          <w:bCs/>
          <w:lang w:val="fr-CA"/>
        </w:rPr>
        <w:t>Fabricant accepté : GF Building Flow Solutions (</w:t>
      </w:r>
      <w:proofErr w:type="spellStart"/>
      <w:r w:rsidRPr="00C73E83">
        <w:rPr>
          <w:rFonts w:ascii="Arial" w:hAnsi="Arial" w:cs="Arial"/>
          <w:bCs/>
          <w:lang w:val="fr-CA"/>
        </w:rPr>
        <w:t>Uponor</w:t>
      </w:r>
      <w:proofErr w:type="spellEnd"/>
      <w:r w:rsidRPr="00C73E83">
        <w:rPr>
          <w:rFonts w:ascii="Arial" w:hAnsi="Arial" w:cs="Arial"/>
          <w:bCs/>
          <w:lang w:val="fr-CA"/>
        </w:rPr>
        <w:t xml:space="preserve"> </w:t>
      </w:r>
      <w:proofErr w:type="spellStart"/>
      <w:r w:rsidRPr="00C73E83">
        <w:rPr>
          <w:rFonts w:ascii="Arial" w:hAnsi="Arial" w:cs="Arial"/>
          <w:bCs/>
          <w:lang w:val="fr-CA"/>
        </w:rPr>
        <w:t>ltée</w:t>
      </w:r>
      <w:proofErr w:type="spellEnd"/>
      <w:r w:rsidRPr="00C73E83">
        <w:rPr>
          <w:rFonts w:ascii="Arial" w:hAnsi="Arial" w:cs="Arial"/>
          <w:bCs/>
          <w:lang w:val="fr-CA"/>
        </w:rPr>
        <w:t xml:space="preserve">), situé au :  </w:t>
      </w:r>
      <w:r w:rsidRPr="00C73E83">
        <w:rPr>
          <w:rFonts w:ascii="Arial" w:hAnsi="Arial" w:cs="Arial"/>
          <w:bCs/>
          <w:lang w:val="fr-CA"/>
        </w:rPr>
        <w:br/>
        <w:t xml:space="preserve">6510 Kennedy Road; Mississauga, ON, L5T 2X4; tél. : 888 994 7726 </w:t>
      </w:r>
      <w:r w:rsidRPr="00C73E83">
        <w:rPr>
          <w:rFonts w:ascii="Arial" w:hAnsi="Arial" w:cs="Arial"/>
          <w:bCs/>
          <w:lang w:val="fr-CA"/>
        </w:rPr>
        <w:br/>
        <w:t>courriel :</w:t>
      </w:r>
      <w:r w:rsidR="001C55F2">
        <w:rPr>
          <w:rFonts w:ascii="Arial" w:hAnsi="Arial" w:cs="Arial"/>
          <w:bCs/>
          <w:lang w:val="fr-CA"/>
        </w:rPr>
        <w:t xml:space="preserve"> </w:t>
      </w:r>
      <w:hyperlink r:id="rId15" w:history="1">
        <w:r w:rsidR="001C55F2" w:rsidRPr="00867D9E">
          <w:rPr>
            <w:rStyle w:val="Hyperlink"/>
            <w:rFonts w:ascii="Arial" w:hAnsi="Arial" w:cs="Arial"/>
            <w:bCs/>
            <w:lang w:val="fr-CA"/>
          </w:rPr>
          <w:t>naspecifications@georgfischer.com</w:t>
        </w:r>
      </w:hyperlink>
      <w:r w:rsidRPr="00C73E83">
        <w:rPr>
          <w:rFonts w:ascii="Arial" w:hAnsi="Arial" w:cs="Arial"/>
          <w:bCs/>
          <w:lang w:val="fr-CA"/>
        </w:rPr>
        <w:t xml:space="preserve">; site Web : </w:t>
      </w:r>
      <w:hyperlink r:id="rId16" w:history="1">
        <w:r w:rsidR="001C55F2" w:rsidRPr="00867D9E">
          <w:rPr>
            <w:rStyle w:val="Hyperlink"/>
            <w:rFonts w:ascii="Arial" w:hAnsi="Arial" w:cs="Arial"/>
            <w:bCs/>
            <w:lang w:val="fr-CA"/>
          </w:rPr>
          <w:t>www.uponor.com</w:t>
        </w:r>
      </w:hyperlink>
    </w:p>
    <w:p w14:paraId="5090B242" w14:textId="60A0730D" w:rsidR="002202AB" w:rsidRPr="00C73E83" w:rsidRDefault="002202AB" w:rsidP="0017580C">
      <w:pPr>
        <w:numPr>
          <w:ilvl w:val="3"/>
          <w:numId w:val="36"/>
        </w:numPr>
        <w:rPr>
          <w:rFonts w:ascii="Arial" w:hAnsi="Arial" w:cs="Arial"/>
          <w:bCs/>
          <w:lang w:val="fr-CA"/>
        </w:rPr>
      </w:pPr>
      <w:r w:rsidRPr="00C73E83">
        <w:rPr>
          <w:rFonts w:ascii="Arial" w:hAnsi="Arial" w:cs="Arial"/>
          <w:lang w:val="fr-CA"/>
        </w:rPr>
        <w:t>Tous les tuyaux, raccords et ensembles de raccords en PEX doivent provenir du même fabricant.</w:t>
      </w:r>
    </w:p>
    <w:p w14:paraId="038DF307" w14:textId="76290A4B" w:rsidR="002202AB" w:rsidRPr="00C73E83" w:rsidRDefault="002202AB" w:rsidP="0017580C">
      <w:pPr>
        <w:numPr>
          <w:ilvl w:val="3"/>
          <w:numId w:val="36"/>
        </w:numPr>
        <w:rPr>
          <w:rFonts w:ascii="Arial" w:hAnsi="Arial" w:cs="Arial"/>
          <w:bCs/>
          <w:lang w:val="fr-CA"/>
        </w:rPr>
      </w:pPr>
      <w:r w:rsidRPr="00C73E83">
        <w:rPr>
          <w:rFonts w:ascii="Arial" w:hAnsi="Arial" w:cs="Arial"/>
          <w:bCs/>
          <w:lang w:val="fr-CA"/>
        </w:rPr>
        <w:t>Tous les tuyaux, bagues et raccords en PEX provenant du même fabricant ont été testés ensemble et certifiés en tant que système.</w:t>
      </w:r>
    </w:p>
    <w:p w14:paraId="7EB1ED11" w14:textId="1ED514E7" w:rsidR="00876525" w:rsidRPr="00C73E83" w:rsidRDefault="00876525" w:rsidP="002202AB">
      <w:pPr>
        <w:numPr>
          <w:ilvl w:val="1"/>
          <w:numId w:val="3"/>
        </w:numPr>
        <w:spacing w:before="240" w:after="240"/>
        <w:rPr>
          <w:rFonts w:ascii="Arial" w:hAnsi="Arial" w:cs="Arial"/>
          <w:b/>
          <w:lang w:val="fr-CA"/>
        </w:rPr>
      </w:pPr>
      <w:r w:rsidRPr="00C73E83">
        <w:rPr>
          <w:rFonts w:ascii="Arial" w:hAnsi="Arial" w:cs="Arial"/>
          <w:b/>
          <w:lang w:val="fr-CA"/>
        </w:rPr>
        <w:t>SUBSTITUTIONS</w:t>
      </w:r>
      <w:r w:rsidR="00263F49" w:rsidRPr="00C73E83">
        <w:rPr>
          <w:rFonts w:ascii="Arial" w:hAnsi="Arial" w:cs="Arial"/>
          <w:b/>
          <w:lang w:val="fr-CA"/>
        </w:rPr>
        <w:t xml:space="preserve"> DE PRODUIT</w:t>
      </w:r>
    </w:p>
    <w:p w14:paraId="5F9D04EB" w14:textId="77777777" w:rsidR="002202AB" w:rsidRPr="00C73E83" w:rsidRDefault="002202AB" w:rsidP="002202AB">
      <w:pPr>
        <w:numPr>
          <w:ilvl w:val="2"/>
          <w:numId w:val="5"/>
        </w:numPr>
        <w:rPr>
          <w:rFonts w:ascii="Arial" w:hAnsi="Arial" w:cs="Arial"/>
          <w:bCs/>
          <w:lang w:val="fr-CA"/>
        </w:rPr>
      </w:pPr>
      <w:r w:rsidRPr="00C73E83">
        <w:rPr>
          <w:rFonts w:ascii="Arial" w:hAnsi="Arial" w:cs="Arial"/>
          <w:bCs/>
          <w:lang w:val="fr-CA"/>
        </w:rPr>
        <w:t>Substitutions : Aucune substitution n’est permise.</w:t>
      </w:r>
    </w:p>
    <w:p w14:paraId="25D29F49" w14:textId="77777777" w:rsidR="002202AB" w:rsidRPr="00C73E83" w:rsidRDefault="002202AB" w:rsidP="002202AB">
      <w:pPr>
        <w:numPr>
          <w:ilvl w:val="2"/>
          <w:numId w:val="5"/>
        </w:numPr>
        <w:rPr>
          <w:rFonts w:ascii="Arial" w:hAnsi="Arial" w:cs="Arial"/>
          <w:bCs/>
          <w:lang w:val="fr-CA"/>
        </w:rPr>
      </w:pPr>
      <w:r w:rsidRPr="00C73E83">
        <w:rPr>
          <w:rFonts w:ascii="Arial" w:hAnsi="Arial" w:cs="Arial"/>
          <w:bCs/>
          <w:lang w:val="fr-CA"/>
        </w:rPr>
        <w:t>Les demandes de substitution seront évaluées conformément aux dispositions de la section 01 60 00 — Exigences relatives aux produits.</w:t>
      </w:r>
    </w:p>
    <w:p w14:paraId="66A59DFD" w14:textId="781C7027" w:rsidR="001C1AD4" w:rsidRPr="00C73E83" w:rsidRDefault="00263F49" w:rsidP="005E2CC4">
      <w:pPr>
        <w:numPr>
          <w:ilvl w:val="1"/>
          <w:numId w:val="3"/>
        </w:numPr>
        <w:spacing w:before="240" w:after="240"/>
        <w:rPr>
          <w:rFonts w:ascii="Arial" w:hAnsi="Arial" w:cs="Arial"/>
          <w:b/>
          <w:lang w:val="fr-CA"/>
        </w:rPr>
      </w:pPr>
      <w:r w:rsidRPr="00C73E83">
        <w:rPr>
          <w:rFonts w:ascii="Arial" w:hAnsi="Arial" w:cs="Arial"/>
          <w:b/>
          <w:lang w:val="fr-CA"/>
        </w:rPr>
        <w:t>TUYAUX ET RACCORDS POUR DISTRIBUTION D’EAU POTABLE</w:t>
      </w:r>
    </w:p>
    <w:p w14:paraId="7AAAE074" w14:textId="2D9BDD9B" w:rsidR="001C1AD4" w:rsidRPr="00C73E83" w:rsidRDefault="002202AB" w:rsidP="001C1AD4">
      <w:pPr>
        <w:numPr>
          <w:ilvl w:val="2"/>
          <w:numId w:val="6"/>
        </w:numPr>
        <w:rPr>
          <w:rFonts w:ascii="Arial" w:hAnsi="Arial" w:cs="Arial"/>
          <w:bCs/>
          <w:lang w:val="fr-CA"/>
        </w:rPr>
      </w:pPr>
      <w:r w:rsidRPr="00C73E83">
        <w:rPr>
          <w:rFonts w:ascii="Arial" w:hAnsi="Arial" w:cs="Arial"/>
          <w:bCs/>
          <w:lang w:val="fr-CA"/>
        </w:rPr>
        <w:t xml:space="preserve">Exigences de rendement </w:t>
      </w:r>
      <w:r w:rsidR="001C1AD4" w:rsidRPr="00C73E83">
        <w:rPr>
          <w:rFonts w:ascii="Arial" w:hAnsi="Arial" w:cs="Arial"/>
          <w:bCs/>
          <w:lang w:val="fr-CA"/>
        </w:rPr>
        <w:t>:</w:t>
      </w:r>
    </w:p>
    <w:p w14:paraId="391A345D" w14:textId="77777777"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 xml:space="preserve">Les tuyaux en PEX doivent être testés et approuvés pour leur conformité avec la norme ASTM F876, pour températures et pressions extrêmes pendant 725 heures à 210 °F (99 °C) et 150 </w:t>
      </w:r>
      <w:proofErr w:type="gramStart"/>
      <w:r w:rsidRPr="00C73E83">
        <w:rPr>
          <w:rFonts w:ascii="Arial" w:hAnsi="Arial" w:cs="Arial"/>
          <w:bCs/>
          <w:lang w:val="fr-CA"/>
        </w:rPr>
        <w:t>psi</w:t>
      </w:r>
      <w:proofErr w:type="gramEnd"/>
      <w:r w:rsidRPr="00C73E83">
        <w:rPr>
          <w:rFonts w:ascii="Arial" w:hAnsi="Arial" w:cs="Arial"/>
          <w:bCs/>
          <w:lang w:val="fr-CA"/>
        </w:rPr>
        <w:t xml:space="preserve"> (1035 kPa).</w:t>
      </w:r>
    </w:p>
    <w:p w14:paraId="0ECABB3E" w14:textId="7673C8F6"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 xml:space="preserve">Les tuyaux en PEX doivent être fabriqués selon les normes ASTM F876, ASTM F877 et CAN/CSA-B137.5. L’homologation doit être vérifiée par une agence indépendante. </w:t>
      </w:r>
    </w:p>
    <w:p w14:paraId="5734F278" w14:textId="16E4AFB2"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Les tuyaux en PEX doivent être homologués NSF/ANSI 14 et 61.</w:t>
      </w:r>
    </w:p>
    <w:p w14:paraId="3D57986C" w14:textId="77777777"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 xml:space="preserve">Les homologations de température et de pression doivent être vérifiées par le Plastic Pipe Institute (PPI), une division de la Society of the Plastic </w:t>
      </w:r>
      <w:proofErr w:type="spellStart"/>
      <w:r w:rsidRPr="00C73E83">
        <w:rPr>
          <w:rFonts w:ascii="Arial" w:hAnsi="Arial" w:cs="Arial"/>
          <w:bCs/>
          <w:lang w:val="fr-CA"/>
        </w:rPr>
        <w:t>Industry</w:t>
      </w:r>
      <w:proofErr w:type="spellEnd"/>
      <w:r w:rsidRPr="00C73E83">
        <w:rPr>
          <w:rFonts w:ascii="Arial" w:hAnsi="Arial" w:cs="Arial"/>
          <w:bCs/>
          <w:lang w:val="fr-CA"/>
        </w:rPr>
        <w:t xml:space="preserve"> (SPI). La pression hydrostatique nominale des tuyaux en PEX doit être de :</w:t>
      </w:r>
    </w:p>
    <w:p w14:paraId="647F2965" w14:textId="77777777" w:rsidR="002202AB" w:rsidRPr="00C73E83" w:rsidRDefault="002202AB" w:rsidP="002202AB">
      <w:pPr>
        <w:numPr>
          <w:ilvl w:val="4"/>
          <w:numId w:val="6"/>
        </w:numPr>
        <w:rPr>
          <w:rFonts w:ascii="Arial" w:hAnsi="Arial" w:cs="Arial"/>
          <w:bCs/>
          <w:lang w:val="fr-CA"/>
        </w:rPr>
      </w:pPr>
      <w:r w:rsidRPr="00C73E83">
        <w:rPr>
          <w:rFonts w:ascii="Arial" w:hAnsi="Arial" w:cs="Arial"/>
          <w:bCs/>
          <w:lang w:val="fr-CA"/>
        </w:rPr>
        <w:t xml:space="preserve">200 °F (82 °C) à 80 </w:t>
      </w:r>
      <w:proofErr w:type="gramStart"/>
      <w:r w:rsidRPr="00C73E83">
        <w:rPr>
          <w:rFonts w:ascii="Arial" w:hAnsi="Arial" w:cs="Arial"/>
          <w:bCs/>
          <w:lang w:val="fr-CA"/>
        </w:rPr>
        <w:t>psi</w:t>
      </w:r>
      <w:proofErr w:type="gramEnd"/>
      <w:r w:rsidRPr="00C73E83">
        <w:rPr>
          <w:rFonts w:ascii="Arial" w:hAnsi="Arial" w:cs="Arial"/>
          <w:bCs/>
          <w:lang w:val="fr-CA"/>
        </w:rPr>
        <w:t xml:space="preserve"> (551 kPa)</w:t>
      </w:r>
    </w:p>
    <w:p w14:paraId="7D63F070" w14:textId="2BF4CE0F" w:rsidR="002202AB" w:rsidRPr="00C73E83" w:rsidRDefault="002202AB" w:rsidP="002202AB">
      <w:pPr>
        <w:numPr>
          <w:ilvl w:val="4"/>
          <w:numId w:val="6"/>
        </w:numPr>
        <w:rPr>
          <w:rFonts w:ascii="Arial" w:hAnsi="Arial" w:cs="Arial"/>
          <w:bCs/>
          <w:lang w:val="fr-CA"/>
        </w:rPr>
      </w:pPr>
      <w:r w:rsidRPr="00C73E83">
        <w:rPr>
          <w:rFonts w:ascii="Arial" w:hAnsi="Arial" w:cs="Arial"/>
          <w:bCs/>
          <w:lang w:val="fr-CA"/>
        </w:rPr>
        <w:t xml:space="preserve">180 °F (82 °C) à 100 </w:t>
      </w:r>
      <w:proofErr w:type="gramStart"/>
      <w:r w:rsidRPr="00C73E83">
        <w:rPr>
          <w:rFonts w:ascii="Arial" w:hAnsi="Arial" w:cs="Arial"/>
          <w:bCs/>
          <w:lang w:val="fr-CA"/>
        </w:rPr>
        <w:t>psi</w:t>
      </w:r>
      <w:proofErr w:type="gramEnd"/>
      <w:r w:rsidRPr="00C73E83">
        <w:rPr>
          <w:rFonts w:ascii="Arial" w:hAnsi="Arial" w:cs="Arial"/>
          <w:bCs/>
          <w:lang w:val="fr-CA"/>
        </w:rPr>
        <w:t xml:space="preserve"> (689 kPa)</w:t>
      </w:r>
    </w:p>
    <w:p w14:paraId="7E0BF657" w14:textId="77777777" w:rsidR="002202AB" w:rsidRPr="00C73E83" w:rsidRDefault="002202AB" w:rsidP="002202AB">
      <w:pPr>
        <w:numPr>
          <w:ilvl w:val="4"/>
          <w:numId w:val="6"/>
        </w:numPr>
        <w:rPr>
          <w:rFonts w:ascii="Arial" w:hAnsi="Arial" w:cs="Arial"/>
          <w:bCs/>
          <w:lang w:val="fr-CA"/>
        </w:rPr>
      </w:pPr>
      <w:r w:rsidRPr="00C73E83">
        <w:rPr>
          <w:rFonts w:ascii="Arial" w:hAnsi="Arial" w:cs="Arial"/>
          <w:bCs/>
          <w:lang w:val="fr-CA"/>
        </w:rPr>
        <w:t xml:space="preserve">73 °F (23 °C) à 160 </w:t>
      </w:r>
      <w:proofErr w:type="gramStart"/>
      <w:r w:rsidRPr="00C73E83">
        <w:rPr>
          <w:rFonts w:ascii="Arial" w:hAnsi="Arial" w:cs="Arial"/>
          <w:bCs/>
          <w:lang w:val="fr-CA"/>
        </w:rPr>
        <w:t>psi</w:t>
      </w:r>
      <w:proofErr w:type="gramEnd"/>
      <w:r w:rsidRPr="00C73E83">
        <w:rPr>
          <w:rFonts w:ascii="Arial" w:hAnsi="Arial" w:cs="Arial"/>
          <w:bCs/>
          <w:lang w:val="fr-CA"/>
        </w:rPr>
        <w:t xml:space="preserve"> (1102 kPa)</w:t>
      </w:r>
    </w:p>
    <w:p w14:paraId="2EA81906" w14:textId="5DDBFEFC"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 xml:space="preserve">Le rayon de cintrage pour le cintrage à froid des </w:t>
      </w:r>
      <w:r w:rsidR="00EF1B74" w:rsidRPr="00C73E83">
        <w:rPr>
          <w:rFonts w:ascii="Arial" w:hAnsi="Arial" w:cs="Arial"/>
          <w:bCs/>
          <w:lang w:val="fr-CA"/>
        </w:rPr>
        <w:t>tuyaux en PEX</w:t>
      </w:r>
      <w:r w:rsidRPr="00C73E83">
        <w:rPr>
          <w:rFonts w:ascii="Arial" w:hAnsi="Arial" w:cs="Arial"/>
          <w:bCs/>
          <w:lang w:val="fr-CA"/>
        </w:rPr>
        <w:t xml:space="preserve"> doit être supérieur à 6 fois le diamètre externe. Les cintrages avec un rayon inférieur au rayon spécifié exigent l’utilisation d’un support de cintrage, fourni par le fabricant.</w:t>
      </w:r>
    </w:p>
    <w:p w14:paraId="133F79D3" w14:textId="77777777" w:rsidR="00EF1B74" w:rsidRPr="00C73E83" w:rsidRDefault="00EF1B74" w:rsidP="00EF1B74">
      <w:pPr>
        <w:pStyle w:val="ListParagraph"/>
        <w:numPr>
          <w:ilvl w:val="3"/>
          <w:numId w:val="6"/>
        </w:numPr>
        <w:rPr>
          <w:rFonts w:ascii="Arial" w:hAnsi="Arial" w:cs="Arial"/>
          <w:bCs/>
          <w:lang w:val="fr-CA"/>
        </w:rPr>
      </w:pPr>
      <w:r w:rsidRPr="00C73E83">
        <w:rPr>
          <w:rFonts w:ascii="Arial" w:hAnsi="Arial" w:cs="Arial"/>
          <w:bCs/>
          <w:lang w:val="fr-CA"/>
        </w:rPr>
        <w:t xml:space="preserve">Les tuyaux en PEX-a doivent être testés pour vérifier leur conformité aux exigences de la norme ASTM F2023 en matière de résistance minimale au chlore dans les conditions d'utilisation finale, 100 % du temps à 140 °F (60 °C), à une pression manométrique de 80 </w:t>
      </w:r>
      <w:proofErr w:type="gramStart"/>
      <w:r w:rsidRPr="00C73E83">
        <w:rPr>
          <w:rFonts w:ascii="Arial" w:hAnsi="Arial" w:cs="Arial"/>
          <w:bCs/>
          <w:lang w:val="fr-CA"/>
        </w:rPr>
        <w:t>psi</w:t>
      </w:r>
      <w:proofErr w:type="gramEnd"/>
      <w:r w:rsidRPr="00C73E83">
        <w:rPr>
          <w:rFonts w:ascii="Arial" w:hAnsi="Arial" w:cs="Arial"/>
          <w:bCs/>
          <w:lang w:val="fr-CA"/>
        </w:rPr>
        <w:t xml:space="preserve"> (0,55 MPa).</w:t>
      </w:r>
    </w:p>
    <w:p w14:paraId="145C2FC5" w14:textId="24B39171" w:rsidR="00EF1B74" w:rsidRPr="00C73E83" w:rsidRDefault="00EF1B74" w:rsidP="00EF1B74">
      <w:pPr>
        <w:pStyle w:val="ListParagraph"/>
        <w:numPr>
          <w:ilvl w:val="4"/>
          <w:numId w:val="6"/>
        </w:numPr>
        <w:rPr>
          <w:rFonts w:ascii="Arial" w:hAnsi="Arial" w:cs="Arial"/>
          <w:bCs/>
          <w:lang w:val="fr-CA"/>
        </w:rPr>
      </w:pPr>
      <w:r w:rsidRPr="00C73E83">
        <w:rPr>
          <w:rFonts w:ascii="Arial" w:hAnsi="Arial" w:cs="Arial"/>
          <w:bCs/>
          <w:lang w:val="fr-CA"/>
        </w:rPr>
        <w:t>Le code de désignation matériel des tuyaux en PEX-a doit être PEX 5106 pour les tuyaux blancs et PEX 5306 pour les tuyaux rouges et bleus.</w:t>
      </w:r>
    </w:p>
    <w:p w14:paraId="01D4C583" w14:textId="45FB1B46" w:rsidR="002202AB" w:rsidRPr="00C73E83" w:rsidRDefault="002202AB" w:rsidP="002202AB">
      <w:pPr>
        <w:numPr>
          <w:ilvl w:val="3"/>
          <w:numId w:val="6"/>
        </w:numPr>
        <w:rPr>
          <w:rFonts w:ascii="Arial" w:hAnsi="Arial" w:cs="Arial"/>
          <w:bCs/>
          <w:lang w:val="fr-CA"/>
        </w:rPr>
      </w:pPr>
      <w:r w:rsidRPr="00C73E83">
        <w:rPr>
          <w:rFonts w:ascii="Arial" w:hAnsi="Arial" w:cs="Arial"/>
          <w:bCs/>
          <w:lang w:val="fr-CA"/>
        </w:rPr>
        <w:t xml:space="preserve">Le format des tuyaux </w:t>
      </w:r>
      <w:r w:rsidR="006962EA" w:rsidRPr="00C73E83">
        <w:rPr>
          <w:rFonts w:ascii="Arial" w:hAnsi="Arial" w:cs="Arial"/>
          <w:bCs/>
          <w:lang w:val="fr-CA"/>
        </w:rPr>
        <w:t>en</w:t>
      </w:r>
      <w:r w:rsidR="00EF1B74" w:rsidRPr="00C73E83">
        <w:rPr>
          <w:rFonts w:ascii="Arial" w:hAnsi="Arial" w:cs="Arial"/>
          <w:bCs/>
          <w:lang w:val="fr-CA"/>
        </w:rPr>
        <w:t xml:space="preserve"> </w:t>
      </w:r>
      <w:r w:rsidRPr="00C73E83">
        <w:rPr>
          <w:rFonts w:ascii="Arial" w:hAnsi="Arial" w:cs="Arial"/>
          <w:bCs/>
          <w:lang w:val="fr-CA"/>
        </w:rPr>
        <w:t>PEX doit être de :</w:t>
      </w:r>
    </w:p>
    <w:p w14:paraId="5D2D95E3" w14:textId="3B7E003E" w:rsidR="00EF1B74" w:rsidRPr="00C73E83" w:rsidRDefault="008D48E6" w:rsidP="00EF1B74">
      <w:pPr>
        <w:numPr>
          <w:ilvl w:val="4"/>
          <w:numId w:val="6"/>
        </w:numPr>
        <w:rPr>
          <w:rFonts w:ascii="Arial" w:hAnsi="Arial" w:cs="Arial"/>
          <w:bCs/>
          <w:lang w:val="fr-CA"/>
        </w:rPr>
      </w:pPr>
      <w:r>
        <w:rPr>
          <w:rFonts w:ascii="Arial" w:hAnsi="Arial" w:cs="Arial"/>
          <w:bCs/>
          <w:lang w:val="fr-CA"/>
        </w:rPr>
        <w:t>1/2 pouce</w:t>
      </w:r>
      <w:r w:rsidR="00EF1B74" w:rsidRPr="00C73E83">
        <w:rPr>
          <w:rFonts w:ascii="Arial" w:hAnsi="Arial" w:cs="Arial"/>
          <w:bCs/>
          <w:lang w:val="fr-CA"/>
        </w:rPr>
        <w:t xml:space="preserve"> (15 mm) diamètre intérieur nominal, en conformité avec ASTM F876 et F877 et F877</w:t>
      </w:r>
    </w:p>
    <w:p w14:paraId="6B4E3FF6" w14:textId="6B318147" w:rsidR="00EF1B74" w:rsidRPr="00C73E83" w:rsidRDefault="00EF1B74" w:rsidP="00EF1B74">
      <w:pPr>
        <w:numPr>
          <w:ilvl w:val="4"/>
          <w:numId w:val="6"/>
        </w:numPr>
        <w:rPr>
          <w:rFonts w:ascii="Arial" w:hAnsi="Arial" w:cs="Arial"/>
          <w:bCs/>
          <w:lang w:val="fr-CA"/>
        </w:rPr>
      </w:pPr>
      <w:r w:rsidRPr="00C73E83">
        <w:rPr>
          <w:rFonts w:ascii="Arial" w:hAnsi="Arial" w:cs="Arial"/>
          <w:bCs/>
          <w:lang w:val="fr-CA"/>
        </w:rPr>
        <w:t>3/4</w:t>
      </w:r>
      <w:r w:rsidR="008D48E6">
        <w:rPr>
          <w:rFonts w:ascii="Arial" w:hAnsi="Arial" w:cs="Arial"/>
          <w:bCs/>
          <w:lang w:val="fr-CA"/>
        </w:rPr>
        <w:t xml:space="preserve"> </w:t>
      </w:r>
      <w:r w:rsidR="008D48E6">
        <w:rPr>
          <w:rFonts w:ascii="Arial" w:hAnsi="Arial" w:cs="Arial"/>
          <w:bCs/>
          <w:lang w:val="fr-CA"/>
        </w:rPr>
        <w:t>pouce</w:t>
      </w:r>
      <w:r w:rsidRPr="00C73E83">
        <w:rPr>
          <w:rFonts w:ascii="Arial" w:hAnsi="Arial" w:cs="Arial"/>
          <w:bCs/>
          <w:lang w:val="fr-CA"/>
        </w:rPr>
        <w:t xml:space="preserve"> (20 mm) diamètre intérieur nominal, en conformité avec ASTM F876 et F877</w:t>
      </w:r>
    </w:p>
    <w:p w14:paraId="33F8B8DA" w14:textId="5085576C" w:rsidR="00EF1B74" w:rsidRPr="00C73E83" w:rsidRDefault="00EF1B74" w:rsidP="00EF1B74">
      <w:pPr>
        <w:numPr>
          <w:ilvl w:val="4"/>
          <w:numId w:val="6"/>
        </w:numPr>
        <w:rPr>
          <w:rFonts w:ascii="Arial" w:hAnsi="Arial" w:cs="Arial"/>
          <w:bCs/>
          <w:lang w:val="fr-CA"/>
        </w:rPr>
      </w:pPr>
      <w:r w:rsidRPr="00C73E83">
        <w:rPr>
          <w:rFonts w:ascii="Arial" w:hAnsi="Arial" w:cs="Arial"/>
          <w:bCs/>
          <w:lang w:val="fr-CA"/>
        </w:rPr>
        <w:lastRenderedPageBreak/>
        <w:t>1</w:t>
      </w:r>
      <w:r w:rsidR="008D48E6">
        <w:rPr>
          <w:rFonts w:ascii="Arial" w:hAnsi="Arial" w:cs="Arial"/>
          <w:bCs/>
          <w:lang w:val="fr-CA"/>
        </w:rPr>
        <w:t xml:space="preserve"> </w:t>
      </w:r>
      <w:r w:rsidR="008D48E6">
        <w:rPr>
          <w:rFonts w:ascii="Arial" w:hAnsi="Arial" w:cs="Arial"/>
          <w:bCs/>
          <w:lang w:val="fr-CA"/>
        </w:rPr>
        <w:t>pouce</w:t>
      </w:r>
      <w:r w:rsidRPr="00C73E83">
        <w:rPr>
          <w:rFonts w:ascii="Arial" w:hAnsi="Arial" w:cs="Arial"/>
          <w:bCs/>
          <w:lang w:val="fr-CA"/>
        </w:rPr>
        <w:t xml:space="preserve"> (25 mm) diamètre intérieur nominal, en conformité avec ASTM F876 et F877.</w:t>
      </w:r>
    </w:p>
    <w:p w14:paraId="67D86008" w14:textId="43426D0B" w:rsidR="00EF1B74" w:rsidRPr="00C73E83" w:rsidRDefault="00EF1B74" w:rsidP="00EF1B74">
      <w:pPr>
        <w:numPr>
          <w:ilvl w:val="4"/>
          <w:numId w:val="6"/>
        </w:numPr>
        <w:rPr>
          <w:rFonts w:ascii="Arial" w:hAnsi="Arial" w:cs="Arial"/>
          <w:bCs/>
          <w:lang w:val="fr-CA"/>
        </w:rPr>
      </w:pPr>
      <w:r w:rsidRPr="00C73E83">
        <w:rPr>
          <w:rFonts w:ascii="Arial" w:hAnsi="Arial" w:cs="Arial"/>
          <w:bCs/>
          <w:lang w:val="fr-CA"/>
        </w:rPr>
        <w:t>1-1/4</w:t>
      </w:r>
      <w:r w:rsidR="008D48E6">
        <w:rPr>
          <w:rFonts w:ascii="Arial" w:hAnsi="Arial" w:cs="Arial"/>
          <w:bCs/>
          <w:lang w:val="fr-CA"/>
        </w:rPr>
        <w:t xml:space="preserve"> pouce</w:t>
      </w:r>
      <w:r w:rsidRPr="00C73E83">
        <w:rPr>
          <w:rFonts w:ascii="Arial" w:hAnsi="Arial" w:cs="Arial"/>
          <w:bCs/>
          <w:lang w:val="fr-CA"/>
        </w:rPr>
        <w:t xml:space="preserve"> (32 mm) diamètre intérieur nominal, en conformité avec ASTM F876 et F877</w:t>
      </w:r>
    </w:p>
    <w:p w14:paraId="72E8EEC4" w14:textId="665E1862" w:rsidR="00EF1B74" w:rsidRPr="00C73E83" w:rsidRDefault="00EF1B74" w:rsidP="00EF1B74">
      <w:pPr>
        <w:numPr>
          <w:ilvl w:val="4"/>
          <w:numId w:val="6"/>
        </w:numPr>
        <w:rPr>
          <w:rFonts w:ascii="Arial" w:hAnsi="Arial" w:cs="Arial"/>
          <w:bCs/>
          <w:lang w:val="fr-CA"/>
        </w:rPr>
      </w:pPr>
      <w:r w:rsidRPr="00C73E83">
        <w:rPr>
          <w:rFonts w:ascii="Arial" w:hAnsi="Arial" w:cs="Arial"/>
          <w:bCs/>
          <w:lang w:val="fr-CA"/>
        </w:rPr>
        <w:t>1-1/2</w:t>
      </w:r>
      <w:r w:rsidR="008D48E6">
        <w:rPr>
          <w:rFonts w:ascii="Arial" w:hAnsi="Arial" w:cs="Arial"/>
          <w:bCs/>
          <w:lang w:val="fr-CA"/>
        </w:rPr>
        <w:t xml:space="preserve"> pouce</w:t>
      </w:r>
      <w:r w:rsidRPr="00C73E83">
        <w:rPr>
          <w:rFonts w:ascii="Arial" w:hAnsi="Arial" w:cs="Arial"/>
          <w:bCs/>
          <w:lang w:val="fr-CA"/>
        </w:rPr>
        <w:t xml:space="preserve"> (40 mm) diamètre intérieur nominal, en conformité avec ASTM F876 et F877</w:t>
      </w:r>
    </w:p>
    <w:p w14:paraId="6D1CC990" w14:textId="42DA5C31" w:rsidR="00EF1B74" w:rsidRPr="00C73E83" w:rsidRDefault="00EF1B74" w:rsidP="00EF1B74">
      <w:pPr>
        <w:numPr>
          <w:ilvl w:val="4"/>
          <w:numId w:val="6"/>
        </w:numPr>
        <w:rPr>
          <w:rFonts w:ascii="Arial" w:hAnsi="Arial" w:cs="Arial"/>
          <w:bCs/>
          <w:lang w:val="fr-CA"/>
        </w:rPr>
      </w:pPr>
      <w:r w:rsidRPr="00C73E83">
        <w:rPr>
          <w:rFonts w:ascii="Arial" w:hAnsi="Arial" w:cs="Arial"/>
          <w:bCs/>
          <w:lang w:val="fr-CA"/>
        </w:rPr>
        <w:t>2</w:t>
      </w:r>
      <w:r w:rsidR="008D48E6">
        <w:rPr>
          <w:rFonts w:ascii="Arial" w:hAnsi="Arial" w:cs="Arial"/>
          <w:bCs/>
          <w:lang w:val="fr-CA"/>
        </w:rPr>
        <w:t xml:space="preserve"> pouce</w:t>
      </w:r>
      <w:r w:rsidRPr="00C73E83">
        <w:rPr>
          <w:rFonts w:ascii="Arial" w:hAnsi="Arial" w:cs="Arial"/>
          <w:bCs/>
          <w:lang w:val="fr-CA"/>
        </w:rPr>
        <w:t xml:space="preserve"> (50 mm) diamètre intérieur nominal, en conformité avec ASTM F876 et F877</w:t>
      </w:r>
    </w:p>
    <w:p w14:paraId="1D60A21C" w14:textId="4E0F8F8E" w:rsidR="002202AB" w:rsidRPr="00C73E83" w:rsidRDefault="00EF1B74" w:rsidP="00EF1B74">
      <w:pPr>
        <w:numPr>
          <w:ilvl w:val="4"/>
          <w:numId w:val="6"/>
        </w:numPr>
        <w:rPr>
          <w:rFonts w:ascii="Arial" w:hAnsi="Arial" w:cs="Arial"/>
          <w:bCs/>
          <w:lang w:val="fr-CA"/>
        </w:rPr>
      </w:pPr>
      <w:r w:rsidRPr="00C73E83">
        <w:rPr>
          <w:rFonts w:ascii="Arial" w:hAnsi="Arial" w:cs="Arial"/>
          <w:bCs/>
          <w:lang w:val="fr-CA"/>
        </w:rPr>
        <w:t>3</w:t>
      </w:r>
      <w:r w:rsidR="008D48E6">
        <w:rPr>
          <w:rFonts w:ascii="Arial" w:hAnsi="Arial" w:cs="Arial"/>
          <w:bCs/>
          <w:lang w:val="fr-CA"/>
        </w:rPr>
        <w:t xml:space="preserve"> pouce</w:t>
      </w:r>
      <w:r w:rsidRPr="00C73E83">
        <w:rPr>
          <w:rFonts w:ascii="Arial" w:hAnsi="Arial" w:cs="Arial"/>
          <w:bCs/>
          <w:lang w:val="fr-CA"/>
        </w:rPr>
        <w:t xml:space="preserve"> (80 mm) diamètre intérieur nominal, en conformité avec ASTM F876 et F877</w:t>
      </w:r>
    </w:p>
    <w:p w14:paraId="18A69056" w14:textId="53EB930B" w:rsidR="00097290" w:rsidRPr="00C73E83" w:rsidRDefault="00EF1B74" w:rsidP="00097290">
      <w:pPr>
        <w:numPr>
          <w:ilvl w:val="2"/>
          <w:numId w:val="6"/>
        </w:numPr>
        <w:rPr>
          <w:rFonts w:ascii="Arial" w:hAnsi="Arial" w:cs="Arial"/>
          <w:bCs/>
          <w:lang w:val="fr-CA"/>
        </w:rPr>
      </w:pPr>
      <w:r w:rsidRPr="00C73E83">
        <w:rPr>
          <w:rFonts w:ascii="Arial" w:hAnsi="Arial" w:cs="Arial"/>
          <w:bCs/>
          <w:lang w:val="fr-CA"/>
        </w:rPr>
        <w:t>Tuyaux</w:t>
      </w:r>
      <w:r w:rsidR="00643252" w:rsidRPr="00C73E83">
        <w:rPr>
          <w:rFonts w:ascii="Arial" w:hAnsi="Arial" w:cs="Arial"/>
          <w:bCs/>
          <w:lang w:val="fr-CA"/>
        </w:rPr>
        <w:t>:</w:t>
      </w:r>
    </w:p>
    <w:p w14:paraId="086E2D08" w14:textId="464F32C8" w:rsidR="00FE4A83" w:rsidRPr="00C73E83" w:rsidRDefault="00FE4A83" w:rsidP="00FE4A83">
      <w:pPr>
        <w:numPr>
          <w:ilvl w:val="3"/>
          <w:numId w:val="6"/>
        </w:numPr>
        <w:rPr>
          <w:rFonts w:ascii="Arial" w:hAnsi="Arial" w:cs="Arial"/>
          <w:bCs/>
          <w:lang w:val="fr-CA"/>
        </w:rPr>
      </w:pPr>
      <w:proofErr w:type="spellStart"/>
      <w:r w:rsidRPr="00C73E83">
        <w:rPr>
          <w:rFonts w:ascii="Arial" w:hAnsi="Arial" w:cs="Arial"/>
          <w:bCs/>
          <w:lang w:val="fr-CA"/>
        </w:rPr>
        <w:t>Uponor</w:t>
      </w:r>
      <w:proofErr w:type="spellEnd"/>
      <w:r w:rsidRPr="00C73E83">
        <w:rPr>
          <w:rFonts w:ascii="Arial" w:hAnsi="Arial" w:cs="Arial"/>
          <w:bCs/>
          <w:lang w:val="fr-CA"/>
        </w:rPr>
        <w:t xml:space="preserve"> AquaPEX</w:t>
      </w:r>
    </w:p>
    <w:p w14:paraId="1360CA90" w14:textId="46030690" w:rsidR="00EF1B74" w:rsidRPr="00C73E83" w:rsidRDefault="00EF1B74" w:rsidP="00EF1B74">
      <w:pPr>
        <w:pStyle w:val="ListParagraph"/>
        <w:numPr>
          <w:ilvl w:val="4"/>
          <w:numId w:val="6"/>
        </w:numPr>
        <w:rPr>
          <w:rFonts w:ascii="Arial" w:hAnsi="Arial" w:cs="Arial"/>
          <w:bCs/>
          <w:lang w:val="fr-CA"/>
        </w:rPr>
      </w:pPr>
      <w:r w:rsidRPr="00C73E83">
        <w:rPr>
          <w:rFonts w:ascii="Arial" w:hAnsi="Arial" w:cs="Arial"/>
          <w:bCs/>
          <w:lang w:val="fr-CA"/>
        </w:rPr>
        <w:t>PEX-a (polyéthylène réticulé selon la méthode Engel), ASTM F876 et F877 (CAN/CSA-B137.5), SDR 9, CTS, dimensions nominales de 1/2 pouce (16 mm) à 3 pouce (80 mm).</w:t>
      </w:r>
    </w:p>
    <w:p w14:paraId="01F29561" w14:textId="7D1C362F" w:rsidR="00EF1B74" w:rsidRPr="00C73E83" w:rsidRDefault="00EF1B74" w:rsidP="00EF1B74">
      <w:pPr>
        <w:pStyle w:val="ListParagraph"/>
        <w:numPr>
          <w:ilvl w:val="2"/>
          <w:numId w:val="6"/>
        </w:numPr>
        <w:rPr>
          <w:rFonts w:ascii="Arial" w:hAnsi="Arial"/>
          <w:lang w:val="fr-CA"/>
        </w:rPr>
      </w:pPr>
      <w:r w:rsidRPr="00C73E83">
        <w:rPr>
          <w:rFonts w:ascii="Arial" w:hAnsi="Arial"/>
          <w:lang w:val="fr-CA"/>
        </w:rPr>
        <w:t xml:space="preserve">Tuyaux </w:t>
      </w:r>
      <w:proofErr w:type="spellStart"/>
      <w:r w:rsidRPr="00C73E83">
        <w:rPr>
          <w:rFonts w:ascii="Arial" w:hAnsi="Arial"/>
          <w:lang w:val="fr-CA"/>
        </w:rPr>
        <w:t>prégainés</w:t>
      </w:r>
      <w:proofErr w:type="spellEnd"/>
      <w:r w:rsidRPr="00C73E83">
        <w:rPr>
          <w:rFonts w:ascii="Arial" w:hAnsi="Arial"/>
          <w:lang w:val="fr-CA"/>
        </w:rPr>
        <w:t xml:space="preserve"> : Tout tuyau en PEX recouvert de béton doit être recouvert d’une gaine ondulée en polyéthylène.</w:t>
      </w:r>
    </w:p>
    <w:p w14:paraId="52594DFA" w14:textId="408502E4"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 xml:space="preserve">Les tuyaux </w:t>
      </w:r>
      <w:proofErr w:type="spellStart"/>
      <w:r w:rsidRPr="00C73E83">
        <w:rPr>
          <w:rFonts w:ascii="Arial" w:hAnsi="Arial"/>
          <w:lang w:val="fr-CA"/>
        </w:rPr>
        <w:t>prégainés</w:t>
      </w:r>
      <w:proofErr w:type="spellEnd"/>
      <w:r w:rsidRPr="00C73E83">
        <w:rPr>
          <w:rFonts w:ascii="Arial" w:hAnsi="Arial"/>
          <w:lang w:val="fr-CA"/>
        </w:rPr>
        <w:t xml:space="preserve"> doivent être fournis par le fabricant des tuyaux en PEX.</w:t>
      </w:r>
    </w:p>
    <w:p w14:paraId="47116250" w14:textId="7D1FA331" w:rsidR="00EF1B74" w:rsidRPr="00C73E83" w:rsidRDefault="00EF1B74" w:rsidP="00EF1B74">
      <w:pPr>
        <w:pStyle w:val="ListParagraph"/>
        <w:numPr>
          <w:ilvl w:val="2"/>
          <w:numId w:val="6"/>
        </w:numPr>
        <w:rPr>
          <w:rFonts w:ascii="Arial" w:hAnsi="Arial"/>
          <w:lang w:val="fr-CA"/>
        </w:rPr>
      </w:pPr>
      <w:r w:rsidRPr="00C73E83">
        <w:rPr>
          <w:rFonts w:ascii="Arial" w:hAnsi="Arial"/>
          <w:lang w:val="fr-CA"/>
        </w:rPr>
        <w:t xml:space="preserve">Tuyaux </w:t>
      </w:r>
      <w:proofErr w:type="spellStart"/>
      <w:r w:rsidRPr="00C73E83">
        <w:rPr>
          <w:rFonts w:ascii="Arial" w:hAnsi="Arial"/>
          <w:lang w:val="fr-CA"/>
        </w:rPr>
        <w:t>préisolés</w:t>
      </w:r>
      <w:proofErr w:type="spellEnd"/>
      <w:r w:rsidRPr="00C73E83">
        <w:rPr>
          <w:rFonts w:ascii="Arial" w:hAnsi="Arial"/>
          <w:lang w:val="fr-CA"/>
        </w:rPr>
        <w:t xml:space="preserve"> : Tous les tuyaux en PEX de 1/2</w:t>
      </w:r>
      <w:r w:rsidR="00120F05">
        <w:rPr>
          <w:rFonts w:ascii="Arial" w:hAnsi="Arial" w:cs="Arial"/>
          <w:lang w:val="fr-CA"/>
        </w:rPr>
        <w:t xml:space="preserve"> pouce</w:t>
      </w:r>
      <w:r w:rsidRPr="00C73E83">
        <w:rPr>
          <w:rFonts w:ascii="Arial" w:hAnsi="Arial"/>
          <w:lang w:val="fr-CA"/>
        </w:rPr>
        <w:t xml:space="preserve"> (15 mm) à 2</w:t>
      </w:r>
      <w:r w:rsidR="00120F05">
        <w:rPr>
          <w:rFonts w:ascii="Arial" w:hAnsi="Arial" w:cs="Arial"/>
          <w:lang w:val="fr-CA"/>
        </w:rPr>
        <w:t xml:space="preserve"> pouce</w:t>
      </w:r>
      <w:r w:rsidRPr="00C73E83">
        <w:rPr>
          <w:rFonts w:ascii="Arial" w:hAnsi="Arial"/>
          <w:lang w:val="fr-CA"/>
        </w:rPr>
        <w:t xml:space="preserve"> (50 mm) devant être isolés doivent être </w:t>
      </w:r>
      <w:proofErr w:type="spellStart"/>
      <w:r w:rsidRPr="00C73E83">
        <w:rPr>
          <w:rFonts w:ascii="Arial" w:hAnsi="Arial"/>
          <w:lang w:val="fr-CA"/>
        </w:rPr>
        <w:t>préisolés</w:t>
      </w:r>
      <w:proofErr w:type="spellEnd"/>
      <w:r w:rsidRPr="00C73E83">
        <w:rPr>
          <w:rFonts w:ascii="Arial" w:hAnsi="Arial"/>
          <w:lang w:val="fr-CA"/>
        </w:rPr>
        <w:t xml:space="preserve"> avec une mousse isolante PEX de </w:t>
      </w:r>
      <w:r w:rsidR="00120F05">
        <w:rPr>
          <w:rFonts w:ascii="Arial" w:hAnsi="Arial"/>
          <w:lang w:val="fr-CA"/>
        </w:rPr>
        <w:t>1/2 pouce</w:t>
      </w:r>
      <w:r w:rsidRPr="00C73E83">
        <w:rPr>
          <w:rFonts w:ascii="Arial" w:hAnsi="Arial"/>
          <w:lang w:val="fr-CA"/>
        </w:rPr>
        <w:t>.</w:t>
      </w:r>
    </w:p>
    <w:p w14:paraId="00F57686" w14:textId="54151C4B"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 xml:space="preserve">Les tuyaux </w:t>
      </w:r>
      <w:proofErr w:type="spellStart"/>
      <w:r w:rsidRPr="00C73E83">
        <w:rPr>
          <w:rFonts w:ascii="Arial" w:hAnsi="Arial"/>
          <w:lang w:val="fr-CA"/>
        </w:rPr>
        <w:t>préisolés</w:t>
      </w:r>
      <w:proofErr w:type="spellEnd"/>
      <w:r w:rsidRPr="00C73E83">
        <w:rPr>
          <w:rFonts w:ascii="Arial" w:hAnsi="Arial"/>
          <w:lang w:val="fr-CA"/>
        </w:rPr>
        <w:t xml:space="preserve"> doivent être fournis par le fabricant des tuyaux en PEX.</w:t>
      </w:r>
    </w:p>
    <w:p w14:paraId="63D0B5E3" w14:textId="67D5E0E1" w:rsidR="00EF1B74" w:rsidRPr="00C73E83" w:rsidRDefault="00EF1B74" w:rsidP="00EF1B74">
      <w:pPr>
        <w:pStyle w:val="ListParagraph"/>
        <w:numPr>
          <w:ilvl w:val="2"/>
          <w:numId w:val="6"/>
        </w:numPr>
        <w:rPr>
          <w:rFonts w:ascii="Arial" w:hAnsi="Arial"/>
          <w:lang w:val="fr-CA"/>
        </w:rPr>
      </w:pPr>
      <w:r w:rsidRPr="00C73E83">
        <w:rPr>
          <w:rFonts w:ascii="Arial" w:hAnsi="Arial"/>
          <w:lang w:val="fr-CA"/>
        </w:rPr>
        <w:t>Matériaux de collecteur : Les collecteurs doivent être fabriqués à partir de cuivre. Les raccords de collecteurs doivent être effectués en conformité avec la norme ASTM F1960.</w:t>
      </w:r>
    </w:p>
    <w:p w14:paraId="58DEC30B" w14:textId="06D7F961"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Les collecteurs doivent être fournis par le fabricant des tuyaux en PEX.</w:t>
      </w:r>
    </w:p>
    <w:p w14:paraId="74ED72C8" w14:textId="0132FC57"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Les collecteurs PEX-a dilatés à froid doivent être composés d’un joint et d’une bague PEX-a dilatée à froid.</w:t>
      </w:r>
    </w:p>
    <w:p w14:paraId="5459512D" w14:textId="72419971"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 xml:space="preserve">Type de collecteur : Collecteur en cuivre de 1 po avec robinet à bille ProPEX de </w:t>
      </w:r>
      <w:r w:rsidR="00082C2B">
        <w:rPr>
          <w:rFonts w:ascii="Arial" w:hAnsi="Arial" w:cs="Arial"/>
          <w:bCs/>
          <w:lang w:val="fr-CA"/>
        </w:rPr>
        <w:t xml:space="preserve">1/2 pouce </w:t>
      </w:r>
      <w:r w:rsidRPr="00C73E83">
        <w:rPr>
          <w:rFonts w:ascii="Arial" w:hAnsi="Arial" w:cs="Arial"/>
          <w:bCs/>
          <w:lang w:val="fr-CA"/>
        </w:rPr>
        <w:t xml:space="preserve">en laiton sans plomb ou collecteur à embranchements en cuivre de 1 po avec sorties ProPEX de </w:t>
      </w:r>
      <w:r w:rsidR="00120F05">
        <w:rPr>
          <w:rFonts w:ascii="Arial" w:hAnsi="Arial" w:cs="Arial"/>
          <w:bCs/>
          <w:lang w:val="fr-CA"/>
        </w:rPr>
        <w:t>1/2 pouce</w:t>
      </w:r>
      <w:r w:rsidRPr="00C73E83">
        <w:rPr>
          <w:rFonts w:ascii="Arial" w:hAnsi="Arial" w:cs="Arial"/>
          <w:bCs/>
          <w:lang w:val="fr-CA"/>
        </w:rPr>
        <w:t xml:space="preserve"> en laiton sans plomb</w:t>
      </w:r>
      <w:r w:rsidR="0092381D">
        <w:rPr>
          <w:rFonts w:ascii="Arial" w:hAnsi="Arial" w:cs="Arial"/>
          <w:bCs/>
          <w:lang w:val="fr-CA"/>
        </w:rPr>
        <w:t>.</w:t>
      </w:r>
    </w:p>
    <w:p w14:paraId="018C0232" w14:textId="29661076" w:rsidR="00EF1B74" w:rsidRPr="00C73E83" w:rsidRDefault="00EF1B74" w:rsidP="00EF1B74">
      <w:pPr>
        <w:pStyle w:val="ListParagraph"/>
        <w:numPr>
          <w:ilvl w:val="2"/>
          <w:numId w:val="6"/>
        </w:numPr>
        <w:rPr>
          <w:rFonts w:ascii="Arial" w:hAnsi="Arial"/>
          <w:lang w:val="fr-CA"/>
        </w:rPr>
      </w:pPr>
      <w:r w:rsidRPr="00C73E83">
        <w:rPr>
          <w:rFonts w:ascii="Arial" w:hAnsi="Arial"/>
          <w:lang w:val="fr-CA"/>
        </w:rPr>
        <w:t>Matériaux de té à orifices multiples : Le té à orifices multiples doit être fabriqué à partir de plastique technique (EP). Les raccords du té à orifices multiples doivent être conformes aux exigences de la norme ASTM F1960.</w:t>
      </w:r>
    </w:p>
    <w:p w14:paraId="733CD948" w14:textId="1A36D5D1"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Les tés à orifices multiples doivent être fournis par le fabricant des tuyaux en PEX.</w:t>
      </w:r>
    </w:p>
    <w:p w14:paraId="006883F1" w14:textId="2433B4F7"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Les collecteurs PEX-a dilatés à froid doivent être composés d’un joint et d’une bague PEX-a dilatée à froid.</w:t>
      </w:r>
    </w:p>
    <w:p w14:paraId="449A590A" w14:textId="6BAEBEE5" w:rsidR="00EF1B74" w:rsidRPr="00C73E83" w:rsidRDefault="00EF1B74" w:rsidP="00EF1B74">
      <w:pPr>
        <w:pStyle w:val="ListParagraph"/>
        <w:numPr>
          <w:ilvl w:val="3"/>
          <w:numId w:val="6"/>
        </w:numPr>
        <w:rPr>
          <w:rFonts w:ascii="Arial" w:hAnsi="Arial"/>
          <w:lang w:val="fr-CA"/>
        </w:rPr>
      </w:pPr>
      <w:r w:rsidRPr="00C73E83">
        <w:rPr>
          <w:rFonts w:ascii="Arial" w:hAnsi="Arial"/>
          <w:lang w:val="fr-CA"/>
        </w:rPr>
        <w:t>Type de té à orifices multiples : Té à orifices multiples en plastique technique (EP) d’</w:t>
      </w:r>
      <w:proofErr w:type="spellStart"/>
      <w:r w:rsidRPr="00C73E83">
        <w:rPr>
          <w:rFonts w:ascii="Arial" w:hAnsi="Arial"/>
          <w:lang w:val="fr-CA"/>
        </w:rPr>
        <w:t>Uponor</w:t>
      </w:r>
      <w:proofErr w:type="spellEnd"/>
      <w:r w:rsidRPr="00C73E83">
        <w:rPr>
          <w:rFonts w:ascii="Arial" w:hAnsi="Arial"/>
          <w:lang w:val="fr-CA"/>
        </w:rPr>
        <w:t>.</w:t>
      </w:r>
    </w:p>
    <w:p w14:paraId="7056C014" w14:textId="5D570412" w:rsidR="00EF1B74" w:rsidRPr="00C73E83" w:rsidRDefault="00EF1B74" w:rsidP="00EF1B74">
      <w:pPr>
        <w:pStyle w:val="ListParagraph"/>
        <w:numPr>
          <w:ilvl w:val="2"/>
          <w:numId w:val="6"/>
        </w:numPr>
        <w:rPr>
          <w:rFonts w:ascii="Arial" w:hAnsi="Arial"/>
          <w:lang w:val="fr-CA"/>
        </w:rPr>
      </w:pPr>
      <w:r w:rsidRPr="00C73E83">
        <w:rPr>
          <w:rFonts w:ascii="Arial" w:hAnsi="Arial"/>
          <w:lang w:val="fr-CA"/>
        </w:rPr>
        <w:t xml:space="preserve">Matériaux de raccord : Les raccords doivent être fabriqués à partir de plastique technique (EP). Les raccords en laiton sans plomb </w:t>
      </w:r>
      <w:r w:rsidR="006962EA" w:rsidRPr="00C73E83">
        <w:rPr>
          <w:rFonts w:ascii="Arial" w:hAnsi="Arial"/>
          <w:lang w:val="fr-CA"/>
        </w:rPr>
        <w:t xml:space="preserve">ou en acier inoxydable </w:t>
      </w:r>
      <w:r w:rsidRPr="00C73E83">
        <w:rPr>
          <w:rFonts w:ascii="Arial" w:hAnsi="Arial"/>
          <w:lang w:val="fr-CA"/>
        </w:rPr>
        <w:t>sont permis uniquement pour les raccords de transition. Les raccordements doivent être faits en conformité avec ASTM F1960.</w:t>
      </w:r>
    </w:p>
    <w:p w14:paraId="4B13B9A0" w14:textId="7FAA5DA1" w:rsidR="00EF1B74" w:rsidRPr="00C73E83" w:rsidRDefault="00EF1B74" w:rsidP="006962EA">
      <w:pPr>
        <w:pStyle w:val="ListParagraph"/>
        <w:numPr>
          <w:ilvl w:val="3"/>
          <w:numId w:val="6"/>
        </w:numPr>
        <w:rPr>
          <w:rFonts w:ascii="Arial" w:hAnsi="Arial"/>
          <w:lang w:val="fr-CA"/>
        </w:rPr>
      </w:pPr>
      <w:r w:rsidRPr="00C73E83">
        <w:rPr>
          <w:rFonts w:ascii="Arial" w:hAnsi="Arial"/>
          <w:lang w:val="fr-CA"/>
        </w:rPr>
        <w:t>Les raccords doivent être fournis par le fabricant des tuyaux en PEX.</w:t>
      </w:r>
    </w:p>
    <w:p w14:paraId="4EC4FA6D" w14:textId="3730535C" w:rsidR="00EF1B74" w:rsidRPr="00C73E83" w:rsidRDefault="00EF1B74" w:rsidP="006962EA">
      <w:pPr>
        <w:pStyle w:val="ListParagraph"/>
        <w:numPr>
          <w:ilvl w:val="3"/>
          <w:numId w:val="6"/>
        </w:numPr>
        <w:rPr>
          <w:rFonts w:ascii="Arial" w:hAnsi="Arial"/>
          <w:lang w:val="fr-CA"/>
        </w:rPr>
      </w:pPr>
      <w:r w:rsidRPr="00C73E83">
        <w:rPr>
          <w:rFonts w:ascii="Arial" w:hAnsi="Arial"/>
          <w:lang w:val="fr-CA"/>
        </w:rPr>
        <w:t>Les raccords PEX-a dilatés à froid doivent être composés d’un joint et d’une bague PEX-a dilatée à froid.</w:t>
      </w:r>
    </w:p>
    <w:p w14:paraId="2ACBC816" w14:textId="77777777" w:rsidR="006962EA" w:rsidRPr="00C73E83" w:rsidRDefault="00EF1B74" w:rsidP="006962EA">
      <w:pPr>
        <w:pStyle w:val="ListParagraph"/>
        <w:numPr>
          <w:ilvl w:val="3"/>
          <w:numId w:val="6"/>
        </w:numPr>
        <w:rPr>
          <w:rFonts w:ascii="Arial" w:hAnsi="Arial"/>
          <w:lang w:val="fr-CA"/>
        </w:rPr>
      </w:pPr>
      <w:r w:rsidRPr="00C73E83">
        <w:rPr>
          <w:rFonts w:ascii="Arial" w:hAnsi="Arial"/>
          <w:lang w:val="fr-CA"/>
        </w:rPr>
        <w:t>Type de raccord en plastique : Raccords en plastique technique (EP) d’</w:t>
      </w:r>
      <w:proofErr w:type="spellStart"/>
      <w:r w:rsidRPr="00C73E83">
        <w:rPr>
          <w:rFonts w:ascii="Arial" w:hAnsi="Arial"/>
          <w:lang w:val="fr-CA"/>
        </w:rPr>
        <w:t>Uponor</w:t>
      </w:r>
      <w:proofErr w:type="spellEnd"/>
      <w:r w:rsidRPr="00C73E83">
        <w:rPr>
          <w:rFonts w:ascii="Arial" w:hAnsi="Arial"/>
          <w:lang w:val="fr-CA"/>
        </w:rPr>
        <w:t>.</w:t>
      </w:r>
    </w:p>
    <w:p w14:paraId="449360A1" w14:textId="301CE833" w:rsidR="006962EA" w:rsidRPr="00C73E83" w:rsidRDefault="006962EA" w:rsidP="006962EA">
      <w:pPr>
        <w:pStyle w:val="ListParagraph"/>
        <w:numPr>
          <w:ilvl w:val="3"/>
          <w:numId w:val="6"/>
        </w:numPr>
        <w:rPr>
          <w:rFonts w:ascii="Arial" w:hAnsi="Arial"/>
          <w:lang w:val="fr-CA"/>
        </w:rPr>
      </w:pPr>
      <w:r w:rsidRPr="00C73E83">
        <w:rPr>
          <w:rFonts w:ascii="Arial" w:hAnsi="Arial"/>
          <w:lang w:val="fr-CA"/>
        </w:rPr>
        <w:t>Type de raccord en laiton : Raccords en laiton sans plomb d’</w:t>
      </w:r>
      <w:proofErr w:type="spellStart"/>
      <w:r w:rsidRPr="00C73E83">
        <w:rPr>
          <w:rFonts w:ascii="Arial" w:hAnsi="Arial"/>
          <w:lang w:val="fr-CA"/>
        </w:rPr>
        <w:t>Uponor</w:t>
      </w:r>
      <w:proofErr w:type="spellEnd"/>
      <w:r w:rsidRPr="00C73E83">
        <w:rPr>
          <w:rFonts w:ascii="Arial" w:hAnsi="Arial"/>
          <w:lang w:val="fr-CA"/>
        </w:rPr>
        <w:t>.</w:t>
      </w:r>
    </w:p>
    <w:p w14:paraId="0D24B38F" w14:textId="3EB4F9CD" w:rsidR="006962EA" w:rsidRPr="00C73E83" w:rsidRDefault="006962EA" w:rsidP="006962EA">
      <w:pPr>
        <w:pStyle w:val="ListParagraph"/>
        <w:numPr>
          <w:ilvl w:val="3"/>
          <w:numId w:val="6"/>
        </w:numPr>
        <w:rPr>
          <w:rFonts w:ascii="Arial" w:hAnsi="Arial"/>
          <w:lang w:val="fr-CA"/>
        </w:rPr>
      </w:pPr>
      <w:r w:rsidRPr="00C73E83">
        <w:rPr>
          <w:rFonts w:ascii="Arial" w:hAnsi="Arial"/>
          <w:lang w:val="fr-CA"/>
        </w:rPr>
        <w:t>Type de raccord en acier inoxydable : Raccords filetés en acier inoxydable d’</w:t>
      </w:r>
      <w:proofErr w:type="spellStart"/>
      <w:r w:rsidRPr="00C73E83">
        <w:rPr>
          <w:rFonts w:ascii="Arial" w:hAnsi="Arial"/>
          <w:lang w:val="fr-CA"/>
        </w:rPr>
        <w:t>Uponor</w:t>
      </w:r>
      <w:proofErr w:type="spellEnd"/>
      <w:r w:rsidRPr="00C73E83">
        <w:rPr>
          <w:rFonts w:ascii="Arial" w:hAnsi="Arial"/>
          <w:lang w:val="fr-CA"/>
        </w:rPr>
        <w:t>.</w:t>
      </w:r>
    </w:p>
    <w:p w14:paraId="47A0C750" w14:textId="01D6834D" w:rsidR="006962EA" w:rsidRPr="00C73E83" w:rsidRDefault="006962EA" w:rsidP="006962EA">
      <w:pPr>
        <w:pStyle w:val="ListParagraph"/>
        <w:numPr>
          <w:ilvl w:val="2"/>
          <w:numId w:val="6"/>
        </w:numPr>
        <w:rPr>
          <w:rFonts w:ascii="Arial" w:hAnsi="Arial"/>
          <w:lang w:val="fr-CA"/>
        </w:rPr>
      </w:pPr>
      <w:r w:rsidRPr="00C73E83">
        <w:rPr>
          <w:rFonts w:ascii="Arial" w:hAnsi="Arial"/>
          <w:lang w:val="fr-CA"/>
        </w:rPr>
        <w:t>Matériaux de vannes et robinets : Les vannes et robinets doivent être fabriqués à partir de laiton sans plomb avec bille et tige en acier inoxydable. Les raccordements doivent être faits en conformité avec ASTM F1960.</w:t>
      </w:r>
    </w:p>
    <w:p w14:paraId="7E0B202D" w14:textId="77777777" w:rsidR="006962EA" w:rsidRPr="00C73E83" w:rsidRDefault="006962EA" w:rsidP="006962EA">
      <w:pPr>
        <w:pStyle w:val="ListParagraph"/>
        <w:numPr>
          <w:ilvl w:val="3"/>
          <w:numId w:val="6"/>
        </w:numPr>
        <w:rPr>
          <w:rFonts w:ascii="Arial" w:hAnsi="Arial"/>
          <w:lang w:val="fr-CA"/>
        </w:rPr>
      </w:pPr>
      <w:r w:rsidRPr="00C73E83">
        <w:rPr>
          <w:rFonts w:ascii="Arial" w:hAnsi="Arial"/>
          <w:lang w:val="fr-CA"/>
        </w:rPr>
        <w:t>Les raccords doivent être fournis par le fabricant des tuyaux en PEX.</w:t>
      </w:r>
    </w:p>
    <w:p w14:paraId="0BDE4F91" w14:textId="77777777" w:rsidR="006962EA" w:rsidRPr="00C73E83" w:rsidRDefault="006962EA" w:rsidP="006962EA">
      <w:pPr>
        <w:pStyle w:val="ListParagraph"/>
        <w:numPr>
          <w:ilvl w:val="3"/>
          <w:numId w:val="6"/>
        </w:numPr>
        <w:rPr>
          <w:rFonts w:ascii="Arial" w:hAnsi="Arial"/>
          <w:lang w:val="fr-CA"/>
        </w:rPr>
      </w:pPr>
      <w:r w:rsidRPr="00C73E83">
        <w:rPr>
          <w:rFonts w:ascii="Arial" w:hAnsi="Arial"/>
          <w:lang w:val="fr-CA"/>
        </w:rPr>
        <w:t>Les raccords PEX-a dilatés à froid doivent être composés d’un joint et d’une bague PEX-a dilatée à froid.</w:t>
      </w:r>
    </w:p>
    <w:p w14:paraId="3041FDB1" w14:textId="589AA4EA" w:rsidR="006962EA" w:rsidRPr="00C73E83" w:rsidRDefault="006962EA" w:rsidP="006962EA">
      <w:pPr>
        <w:pStyle w:val="ListParagraph"/>
        <w:numPr>
          <w:ilvl w:val="3"/>
          <w:numId w:val="6"/>
        </w:numPr>
        <w:rPr>
          <w:rFonts w:ascii="Arial" w:hAnsi="Arial"/>
          <w:lang w:val="fr-CA"/>
        </w:rPr>
      </w:pPr>
      <w:r w:rsidRPr="00C73E83">
        <w:rPr>
          <w:rFonts w:ascii="Arial" w:hAnsi="Arial"/>
          <w:lang w:val="fr-CA"/>
        </w:rPr>
        <w:lastRenderedPageBreak/>
        <w:t xml:space="preserve">En conformité avec les normes : </w:t>
      </w:r>
      <w:r w:rsidRPr="00C73E83">
        <w:rPr>
          <w:rFonts w:ascii="Arial" w:hAnsi="Arial" w:cs="Arial"/>
          <w:bCs/>
          <w:lang w:val="fr-CA"/>
        </w:rPr>
        <w:t>250 CWP, ANSI/NSF 359, ANSI/NSF 372, ANSI/NSF 14/61, ASTM F1960, CAN/CSA B137.5 (ASTM F877).</w:t>
      </w:r>
    </w:p>
    <w:p w14:paraId="32E8D64E" w14:textId="301DD7A5" w:rsidR="00876525" w:rsidRPr="00C73E83" w:rsidRDefault="00263F49" w:rsidP="006962EA">
      <w:pPr>
        <w:numPr>
          <w:ilvl w:val="1"/>
          <w:numId w:val="3"/>
        </w:numPr>
        <w:spacing w:before="240"/>
        <w:rPr>
          <w:rFonts w:ascii="Arial" w:hAnsi="Arial" w:cs="Arial"/>
          <w:b/>
          <w:lang w:val="fr-CA"/>
        </w:rPr>
      </w:pPr>
      <w:r w:rsidRPr="00C73E83">
        <w:rPr>
          <w:rFonts w:ascii="Arial" w:hAnsi="Arial" w:cs="Arial"/>
          <w:b/>
          <w:lang w:val="fr-CA"/>
        </w:rPr>
        <w:t>ACCESSOIRES</w:t>
      </w:r>
    </w:p>
    <w:p w14:paraId="30632462" w14:textId="2BE2EAB7"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Boîtiers d’alimentation : Les boîtiers d’alimentation pour machines à glace et laveuses doivent être fournis par le fabricant des tuyaux en PEX.</w:t>
      </w:r>
    </w:p>
    <w:p w14:paraId="66779173" w14:textId="03DFD3A4"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Robinets d’arrêt pour appareils sanitaires : Les robinets d’arrêt pour appareils sanitaires doivent être fournis par le fabricant des tuyaux en PEX.</w:t>
      </w:r>
    </w:p>
    <w:p w14:paraId="1413DE6B" w14:textId="1E0F9C72"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Supports muraux : Les supports conçus pour permettre aux tuyaux de traverser un mur doivent être fournis par le fabricant des tuyaux en PEX.</w:t>
      </w:r>
    </w:p>
    <w:p w14:paraId="59486917" w14:textId="2C53767C" w:rsidR="006962EA" w:rsidRPr="00C73E83" w:rsidRDefault="006962EA" w:rsidP="006962EA">
      <w:pPr>
        <w:numPr>
          <w:ilvl w:val="3"/>
          <w:numId w:val="7"/>
        </w:numPr>
        <w:rPr>
          <w:rFonts w:ascii="Arial" w:hAnsi="Arial" w:cs="Arial"/>
          <w:bCs/>
          <w:lang w:val="fr-CA"/>
        </w:rPr>
      </w:pPr>
      <w:r w:rsidRPr="00C73E83">
        <w:rPr>
          <w:rFonts w:ascii="Arial" w:hAnsi="Arial" w:cs="Arial"/>
          <w:bCs/>
          <w:lang w:val="fr-CA"/>
        </w:rPr>
        <w:t>Type de support : Système « hors-du-mur » ProPEX d’</w:t>
      </w:r>
      <w:proofErr w:type="spellStart"/>
      <w:r w:rsidRPr="00C73E83">
        <w:rPr>
          <w:rFonts w:ascii="Arial" w:hAnsi="Arial" w:cs="Arial"/>
          <w:bCs/>
          <w:lang w:val="fr-CA"/>
        </w:rPr>
        <w:t>Uponor</w:t>
      </w:r>
      <w:proofErr w:type="spellEnd"/>
      <w:r w:rsidR="005F0AEF">
        <w:rPr>
          <w:rFonts w:ascii="Arial" w:hAnsi="Arial" w:cs="Arial"/>
          <w:bCs/>
          <w:lang w:val="fr-CA"/>
        </w:rPr>
        <w:t>.</w:t>
      </w:r>
    </w:p>
    <w:p w14:paraId="49F4765D" w14:textId="06B4EA62"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Supports horizontaux : Tous les supports horizontaux pour les tuyaux de formats supérieurs à 1</w:t>
      </w:r>
      <w:r w:rsidR="0092381D">
        <w:rPr>
          <w:rFonts w:ascii="Arial" w:hAnsi="Arial" w:cs="Arial"/>
          <w:bCs/>
          <w:lang w:val="fr-CA"/>
        </w:rPr>
        <w:t xml:space="preserve"> pouce </w:t>
      </w:r>
      <w:r w:rsidRPr="00C73E83">
        <w:rPr>
          <w:rFonts w:ascii="Arial" w:hAnsi="Arial" w:cs="Arial"/>
          <w:bCs/>
          <w:lang w:val="fr-CA"/>
        </w:rPr>
        <w:t>doivent être fabriqués à partir d’acier galvanisé et être fournis par le fabricant des tuyaux en PEX.</w:t>
      </w:r>
    </w:p>
    <w:p w14:paraId="426DB3EA" w14:textId="659068D2"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Type de support : Supports pour tuyaux en PEX-a d’</w:t>
      </w:r>
      <w:proofErr w:type="spellStart"/>
      <w:r w:rsidRPr="00C73E83">
        <w:rPr>
          <w:rFonts w:ascii="Arial" w:hAnsi="Arial" w:cs="Arial"/>
          <w:bCs/>
          <w:lang w:val="fr-CA"/>
        </w:rPr>
        <w:t>Uponor</w:t>
      </w:r>
      <w:proofErr w:type="spellEnd"/>
      <w:r w:rsidR="0092381D">
        <w:rPr>
          <w:rFonts w:ascii="Arial" w:hAnsi="Arial" w:cs="Arial"/>
          <w:bCs/>
          <w:lang w:val="fr-CA"/>
        </w:rPr>
        <w:t>.</w:t>
      </w:r>
    </w:p>
    <w:p w14:paraId="03A4F29A" w14:textId="255348C6"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 xml:space="preserve">Brides pour colonnes montantes : Toutes les brides pour colonnes montantes PEX doivent être recouvertes d’époxy. </w:t>
      </w:r>
    </w:p>
    <w:p w14:paraId="2FCD5FAD" w14:textId="46558D66" w:rsidR="006962EA" w:rsidRPr="00C73E83" w:rsidRDefault="006962EA" w:rsidP="006962EA">
      <w:pPr>
        <w:numPr>
          <w:ilvl w:val="2"/>
          <w:numId w:val="7"/>
        </w:numPr>
        <w:rPr>
          <w:rFonts w:ascii="Arial" w:hAnsi="Arial" w:cs="Arial"/>
          <w:bCs/>
          <w:lang w:val="fr-CA"/>
        </w:rPr>
      </w:pPr>
      <w:r w:rsidRPr="00C73E83">
        <w:rPr>
          <w:rFonts w:ascii="Arial" w:hAnsi="Arial" w:cs="Arial"/>
          <w:bCs/>
          <w:lang w:val="fr-CA"/>
        </w:rPr>
        <w:t>Supports horizontaux : Tous les supports horizontaux pour les tuyaux de diamètres supérieurs à 1/2</w:t>
      </w:r>
      <w:r w:rsidR="0092381D">
        <w:rPr>
          <w:rFonts w:ascii="Arial" w:hAnsi="Arial" w:cs="Arial"/>
          <w:bCs/>
          <w:lang w:val="fr-CA"/>
        </w:rPr>
        <w:t xml:space="preserve"> pouce</w:t>
      </w:r>
      <w:r w:rsidRPr="00C73E83">
        <w:rPr>
          <w:rFonts w:ascii="Arial" w:hAnsi="Arial" w:cs="Arial"/>
          <w:bCs/>
          <w:lang w:val="fr-CA"/>
        </w:rPr>
        <w:t xml:space="preserve"> doivent être fabriqués à partir d’acier galvanisé de calibre 23 et être fournis par le fabricant des tuyaux en PEX.</w:t>
      </w:r>
    </w:p>
    <w:p w14:paraId="74DC389A" w14:textId="70123B78" w:rsidR="006962EA" w:rsidRPr="00C73E83" w:rsidRDefault="006962EA" w:rsidP="006962EA">
      <w:pPr>
        <w:numPr>
          <w:ilvl w:val="3"/>
          <w:numId w:val="7"/>
        </w:numPr>
        <w:rPr>
          <w:rFonts w:ascii="Arial" w:hAnsi="Arial" w:cs="Arial"/>
          <w:bCs/>
          <w:lang w:val="fr-CA"/>
        </w:rPr>
      </w:pPr>
      <w:r w:rsidRPr="00C73E83">
        <w:rPr>
          <w:rFonts w:ascii="Arial" w:hAnsi="Arial" w:cs="Arial"/>
          <w:bCs/>
          <w:lang w:val="fr-CA"/>
        </w:rPr>
        <w:t xml:space="preserve">Type de support : Supports pour </w:t>
      </w:r>
      <w:r w:rsidR="0099340D" w:rsidRPr="00C73E83">
        <w:rPr>
          <w:rFonts w:ascii="Arial" w:hAnsi="Arial" w:cs="Arial"/>
          <w:bCs/>
          <w:lang w:val="fr-CA"/>
        </w:rPr>
        <w:t>tuyaux en PEX</w:t>
      </w:r>
      <w:r w:rsidRPr="00C73E83">
        <w:rPr>
          <w:rFonts w:ascii="Arial" w:hAnsi="Arial" w:cs="Arial"/>
          <w:bCs/>
          <w:lang w:val="fr-CA"/>
        </w:rPr>
        <w:t>-a d’</w:t>
      </w:r>
      <w:proofErr w:type="spellStart"/>
      <w:r w:rsidRPr="00C73E83">
        <w:rPr>
          <w:rFonts w:ascii="Arial" w:hAnsi="Arial" w:cs="Arial"/>
          <w:bCs/>
          <w:lang w:val="fr-CA"/>
        </w:rPr>
        <w:t>Uponor</w:t>
      </w:r>
      <w:proofErr w:type="spellEnd"/>
      <w:r w:rsidR="0092381D">
        <w:rPr>
          <w:rFonts w:ascii="Arial" w:hAnsi="Arial" w:cs="Arial"/>
          <w:bCs/>
          <w:lang w:val="fr-CA"/>
        </w:rPr>
        <w:t>.</w:t>
      </w:r>
    </w:p>
    <w:p w14:paraId="7535B9AD" w14:textId="014F0B4A" w:rsidR="00876525" w:rsidRPr="00C73E83" w:rsidRDefault="00263F49" w:rsidP="006962EA">
      <w:pPr>
        <w:numPr>
          <w:ilvl w:val="1"/>
          <w:numId w:val="3"/>
        </w:numPr>
        <w:spacing w:before="240"/>
        <w:rPr>
          <w:rFonts w:ascii="Arial" w:hAnsi="Arial" w:cs="Arial"/>
          <w:b/>
          <w:lang w:val="fr-CA"/>
        </w:rPr>
      </w:pPr>
      <w:r w:rsidRPr="00C73E83">
        <w:rPr>
          <w:rFonts w:ascii="Arial" w:hAnsi="Arial" w:cs="Arial"/>
          <w:b/>
          <w:lang w:val="fr-CA"/>
        </w:rPr>
        <w:t>MATÉRIAUX CONNEXES</w:t>
      </w:r>
    </w:p>
    <w:p w14:paraId="0FD5F93C" w14:textId="77777777" w:rsidR="006962EA" w:rsidRPr="00C73E83" w:rsidRDefault="006962EA" w:rsidP="006962EA">
      <w:pPr>
        <w:pStyle w:val="ListParagraph"/>
        <w:numPr>
          <w:ilvl w:val="1"/>
          <w:numId w:val="26"/>
        </w:numPr>
        <w:rPr>
          <w:rFonts w:ascii="Arial" w:hAnsi="Arial" w:cs="Arial"/>
          <w:bCs/>
          <w:lang w:val="fr-CA"/>
        </w:rPr>
      </w:pPr>
      <w:r w:rsidRPr="00C73E83">
        <w:rPr>
          <w:rFonts w:ascii="Arial" w:hAnsi="Arial" w:cs="Arial"/>
          <w:bCs/>
          <w:lang w:val="fr-CA"/>
        </w:rPr>
        <w:t>Matériaux connexes : Consulter les autres sections indiquées dans le paragraphe « Sections connexes » du présent document pour les matériaux connexes.</w:t>
      </w:r>
    </w:p>
    <w:p w14:paraId="72DFCF9C" w14:textId="352BF52D" w:rsidR="009D66FA" w:rsidRPr="00C73E83" w:rsidRDefault="00263F49" w:rsidP="006962EA">
      <w:pPr>
        <w:numPr>
          <w:ilvl w:val="0"/>
          <w:numId w:val="27"/>
        </w:numPr>
        <w:spacing w:before="240" w:after="240"/>
        <w:rPr>
          <w:rFonts w:ascii="Arial" w:hAnsi="Arial" w:cs="Arial"/>
          <w:bCs/>
          <w:lang w:val="fr-CA"/>
        </w:rPr>
      </w:pPr>
      <w:r w:rsidRPr="00C73E83">
        <w:rPr>
          <w:rFonts w:ascii="Arial" w:hAnsi="Arial" w:cs="Arial"/>
          <w:b/>
          <w:bCs/>
          <w:lang w:val="fr-CA"/>
        </w:rPr>
        <w:t>EXÉCUTION</w:t>
      </w:r>
    </w:p>
    <w:p w14:paraId="0F2C9381" w14:textId="7626B04A" w:rsidR="00876525" w:rsidRPr="00C73E83" w:rsidRDefault="00263F49" w:rsidP="001D66A1">
      <w:pPr>
        <w:numPr>
          <w:ilvl w:val="1"/>
          <w:numId w:val="4"/>
        </w:numPr>
        <w:rPr>
          <w:rFonts w:ascii="Arial" w:hAnsi="Arial" w:cs="Arial"/>
          <w:b/>
          <w:lang w:val="fr-CA"/>
        </w:rPr>
      </w:pPr>
      <w:r w:rsidRPr="00C73E83">
        <w:rPr>
          <w:rFonts w:ascii="Arial" w:hAnsi="Arial" w:cs="Arial"/>
          <w:b/>
          <w:lang w:val="fr-CA"/>
        </w:rPr>
        <w:t>DIRECTIVES DU FABRICANT</w:t>
      </w:r>
    </w:p>
    <w:p w14:paraId="3C236AD8" w14:textId="0E233AA4" w:rsidR="00FA0339" w:rsidRPr="00C73E83" w:rsidRDefault="006962EA" w:rsidP="006962EA">
      <w:pPr>
        <w:numPr>
          <w:ilvl w:val="2"/>
          <w:numId w:val="28"/>
        </w:numPr>
        <w:spacing w:after="240"/>
        <w:rPr>
          <w:rFonts w:ascii="Arial" w:hAnsi="Arial" w:cs="Arial"/>
          <w:bCs/>
          <w:lang w:val="fr-CA"/>
        </w:rPr>
      </w:pPr>
      <w:r w:rsidRPr="00C73E83">
        <w:rPr>
          <w:rFonts w:ascii="Arial" w:hAnsi="Arial" w:cs="Arial"/>
          <w:lang w:val="fr-CA"/>
        </w:rPr>
        <w:t xml:space="preserve">Conformité : Se conformer aux données techniques du fabricant, y compris les bulletins techniques du produit, les directives d’installation et les directives de déballage du produit pour l’installation. </w:t>
      </w:r>
    </w:p>
    <w:p w14:paraId="35C6B60A" w14:textId="503DE590" w:rsidR="00876525" w:rsidRPr="00C73E83" w:rsidRDefault="00263F49" w:rsidP="001D66A1">
      <w:pPr>
        <w:numPr>
          <w:ilvl w:val="1"/>
          <w:numId w:val="4"/>
        </w:numPr>
        <w:rPr>
          <w:rFonts w:ascii="Arial" w:hAnsi="Arial" w:cs="Arial"/>
          <w:b/>
          <w:lang w:val="fr-CA"/>
        </w:rPr>
      </w:pPr>
      <w:r w:rsidRPr="00C73E83">
        <w:rPr>
          <w:rFonts w:ascii="Arial" w:hAnsi="Arial" w:cs="Arial"/>
          <w:b/>
          <w:lang w:val="fr-CA"/>
        </w:rPr>
        <w:t>INSPECTION</w:t>
      </w:r>
    </w:p>
    <w:p w14:paraId="60F4A763" w14:textId="18A212B7" w:rsidR="006962EA" w:rsidRPr="00C73E83" w:rsidRDefault="006962EA" w:rsidP="006962EA">
      <w:pPr>
        <w:numPr>
          <w:ilvl w:val="2"/>
          <w:numId w:val="29"/>
        </w:numPr>
        <w:spacing w:after="240"/>
        <w:rPr>
          <w:rFonts w:ascii="Arial" w:hAnsi="Arial" w:cs="Arial"/>
          <w:bCs/>
          <w:lang w:val="fr-CA"/>
        </w:rPr>
      </w:pPr>
      <w:r w:rsidRPr="00C73E83">
        <w:rPr>
          <w:rFonts w:ascii="Arial" w:hAnsi="Arial" w:cs="Arial"/>
          <w:bCs/>
          <w:lang w:val="fr-CA"/>
        </w:rPr>
        <w:t>Inspection des conditions du site : Vérifier les conditions installées lors de sections précédentes pour assurer que leur état est acceptable pour l’installation du réseau de tuyauterie en PEX, conformément aux directives du fabricant.</w:t>
      </w:r>
    </w:p>
    <w:p w14:paraId="44AC9422" w14:textId="77777777" w:rsidR="00876525" w:rsidRPr="00C73E83" w:rsidRDefault="00876525" w:rsidP="001D66A1">
      <w:pPr>
        <w:numPr>
          <w:ilvl w:val="1"/>
          <w:numId w:val="4"/>
        </w:numPr>
        <w:rPr>
          <w:rFonts w:ascii="Arial" w:hAnsi="Arial" w:cs="Arial"/>
          <w:b/>
          <w:lang w:val="fr-CA"/>
        </w:rPr>
      </w:pPr>
      <w:r w:rsidRPr="00C73E83">
        <w:rPr>
          <w:rFonts w:ascii="Arial" w:hAnsi="Arial" w:cs="Arial"/>
          <w:b/>
          <w:lang w:val="fr-CA"/>
        </w:rPr>
        <w:t>INSTALLATION</w:t>
      </w:r>
    </w:p>
    <w:p w14:paraId="3BD2E349" w14:textId="2A74C3D8" w:rsidR="006962EA" w:rsidRPr="00C73E83" w:rsidRDefault="006962EA" w:rsidP="006962EA">
      <w:pPr>
        <w:numPr>
          <w:ilvl w:val="2"/>
          <w:numId w:val="12"/>
        </w:numPr>
        <w:rPr>
          <w:rFonts w:ascii="Arial" w:hAnsi="Arial" w:cs="Arial"/>
          <w:bCs/>
          <w:lang w:val="fr-CA"/>
        </w:rPr>
      </w:pPr>
      <w:r w:rsidRPr="00C73E83">
        <w:rPr>
          <w:rFonts w:ascii="Arial" w:hAnsi="Arial" w:cs="Arial"/>
          <w:bCs/>
          <w:lang w:val="fr-CA"/>
        </w:rPr>
        <w:t>Réseau de distribution d’eau potable en PEX :</w:t>
      </w:r>
    </w:p>
    <w:p w14:paraId="2466317A" w14:textId="2225DCEE"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Installer la tuyauterie en PEX selon les recommandations du fabricant de la tuyauterie et tel qu’indiqué sur les manuels, bulletins techniques et dessins contractuels, y compris les documents suivants :</w:t>
      </w:r>
    </w:p>
    <w:p w14:paraId="52A93302" w14:textId="77777777" w:rsidR="006962EA" w:rsidRPr="00C73E83" w:rsidRDefault="006962EA" w:rsidP="0099340D">
      <w:pPr>
        <w:numPr>
          <w:ilvl w:val="4"/>
          <w:numId w:val="12"/>
        </w:numPr>
        <w:rPr>
          <w:rFonts w:ascii="Arial" w:hAnsi="Arial" w:cs="Arial"/>
          <w:bCs/>
          <w:lang w:val="fr-CA"/>
        </w:rPr>
      </w:pPr>
      <w:r w:rsidRPr="00C73E83">
        <w:rPr>
          <w:rFonts w:ascii="Arial" w:hAnsi="Arial" w:cs="Arial"/>
          <w:bCs/>
          <w:lang w:val="fr-CA"/>
        </w:rPr>
        <w:t>Manuel de conception et d’installation pour réseaux de tuyauterie en PEX d’</w:t>
      </w:r>
      <w:proofErr w:type="spellStart"/>
      <w:r w:rsidRPr="00C73E83">
        <w:rPr>
          <w:rFonts w:ascii="Arial" w:hAnsi="Arial" w:cs="Arial"/>
          <w:bCs/>
          <w:lang w:val="fr-CA"/>
        </w:rPr>
        <w:t>Uponor</w:t>
      </w:r>
      <w:proofErr w:type="spellEnd"/>
      <w:r w:rsidRPr="00C73E83">
        <w:rPr>
          <w:rFonts w:ascii="Arial" w:hAnsi="Arial" w:cs="Arial"/>
          <w:bCs/>
          <w:lang w:val="fr-CA"/>
        </w:rPr>
        <w:t>, dernière édition.</w:t>
      </w:r>
    </w:p>
    <w:p w14:paraId="150EA7FB" w14:textId="1134107F" w:rsidR="006962EA" w:rsidRPr="00C73E83" w:rsidRDefault="006962EA" w:rsidP="0099340D">
      <w:pPr>
        <w:numPr>
          <w:ilvl w:val="4"/>
          <w:numId w:val="12"/>
        </w:numPr>
        <w:rPr>
          <w:rFonts w:ascii="Arial" w:hAnsi="Arial" w:cs="Arial"/>
          <w:bCs/>
          <w:lang w:val="fr-CA"/>
        </w:rPr>
      </w:pPr>
      <w:r w:rsidRPr="00C73E83">
        <w:rPr>
          <w:rFonts w:ascii="Arial" w:hAnsi="Arial" w:cs="Arial"/>
          <w:bCs/>
          <w:lang w:val="fr-CA"/>
        </w:rPr>
        <w:t>Guide d’installation pour réseaux de tuyauterie en PEX d’</w:t>
      </w:r>
      <w:proofErr w:type="spellStart"/>
      <w:r w:rsidRPr="00C73E83">
        <w:rPr>
          <w:rFonts w:ascii="Arial" w:hAnsi="Arial" w:cs="Arial"/>
          <w:bCs/>
          <w:lang w:val="fr-CA"/>
        </w:rPr>
        <w:t>Uponor</w:t>
      </w:r>
      <w:proofErr w:type="spellEnd"/>
      <w:r w:rsidRPr="00C73E83">
        <w:rPr>
          <w:rFonts w:ascii="Arial" w:hAnsi="Arial" w:cs="Arial"/>
          <w:bCs/>
          <w:lang w:val="fr-CA"/>
        </w:rPr>
        <w:t>, dernière édition.</w:t>
      </w:r>
    </w:p>
    <w:p w14:paraId="7F84D382" w14:textId="58C34A6E"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Les tuyaux </w:t>
      </w:r>
      <w:r w:rsidR="0099340D" w:rsidRPr="00C73E83">
        <w:rPr>
          <w:rFonts w:ascii="Arial" w:hAnsi="Arial" w:cs="Arial"/>
          <w:bCs/>
          <w:lang w:val="fr-CA"/>
        </w:rPr>
        <w:t xml:space="preserve">en </w:t>
      </w:r>
      <w:r w:rsidRPr="00C73E83">
        <w:rPr>
          <w:rFonts w:ascii="Arial" w:hAnsi="Arial" w:cs="Arial"/>
          <w:bCs/>
          <w:lang w:val="fr-CA"/>
        </w:rPr>
        <w:t xml:space="preserve">PEX </w:t>
      </w:r>
      <w:r w:rsidR="0099340D" w:rsidRPr="00C73E83">
        <w:rPr>
          <w:rFonts w:ascii="Arial" w:hAnsi="Arial" w:cs="Arial"/>
          <w:bCs/>
          <w:lang w:val="fr-CA"/>
        </w:rPr>
        <w:t xml:space="preserve">blancs </w:t>
      </w:r>
      <w:r w:rsidRPr="00C73E83">
        <w:rPr>
          <w:rFonts w:ascii="Arial" w:hAnsi="Arial" w:cs="Arial"/>
          <w:bCs/>
          <w:lang w:val="fr-CA"/>
        </w:rPr>
        <w:t>ne doivent pas être exposés directement au soleil pendant plus de 30 jours</w:t>
      </w:r>
      <w:r w:rsidR="0099340D" w:rsidRPr="00C73E83">
        <w:rPr>
          <w:rFonts w:ascii="Arial" w:hAnsi="Arial" w:cs="Arial"/>
          <w:bCs/>
          <w:lang w:val="fr-CA"/>
        </w:rPr>
        <w:t>; les tuyaux en PEX bleus et rouges ne doivent pas être exposés directement au soleil pendant plus de 6 mois.</w:t>
      </w:r>
    </w:p>
    <w:p w14:paraId="25B3194A" w14:textId="21694E16"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Les </w:t>
      </w:r>
      <w:r w:rsidR="0099340D" w:rsidRPr="00C73E83">
        <w:rPr>
          <w:rFonts w:ascii="Arial" w:hAnsi="Arial" w:cs="Arial"/>
          <w:bCs/>
          <w:lang w:val="fr-CA"/>
        </w:rPr>
        <w:t>tuyaux en PEX</w:t>
      </w:r>
      <w:r w:rsidRPr="00C73E83">
        <w:rPr>
          <w:rFonts w:ascii="Arial" w:hAnsi="Arial" w:cs="Arial"/>
          <w:bCs/>
          <w:lang w:val="fr-CA"/>
        </w:rPr>
        <w:t xml:space="preserve"> doivent être recouverts </w:t>
      </w:r>
      <w:proofErr w:type="gramStart"/>
      <w:r w:rsidRPr="00C73E83">
        <w:rPr>
          <w:rFonts w:ascii="Arial" w:hAnsi="Arial" w:cs="Arial"/>
          <w:bCs/>
          <w:lang w:val="fr-CA"/>
        </w:rPr>
        <w:t>d’un isolant si exposés</w:t>
      </w:r>
      <w:proofErr w:type="gramEnd"/>
      <w:r w:rsidRPr="00C73E83">
        <w:rPr>
          <w:rFonts w:ascii="Arial" w:hAnsi="Arial" w:cs="Arial"/>
          <w:bCs/>
          <w:lang w:val="fr-CA"/>
        </w:rPr>
        <w:t xml:space="preserve"> à une source directe de rayons UV, comme des ampoules fluorescentes ou tout autre appareil générateur d’UV.</w:t>
      </w:r>
    </w:p>
    <w:p w14:paraId="62DDF77C" w14:textId="7354E57A"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S’assurer qu’aucune colle, aucun solvant ou autres produits chimiques n’entrent pas en contact avec les tuyaux sans l’autorisation du fabricant.</w:t>
      </w:r>
    </w:p>
    <w:p w14:paraId="786C3473" w14:textId="5F5A6BA0"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lastRenderedPageBreak/>
        <w:t xml:space="preserve">Les </w:t>
      </w:r>
      <w:r w:rsidR="0099340D" w:rsidRPr="00C73E83">
        <w:rPr>
          <w:rFonts w:ascii="Arial" w:hAnsi="Arial" w:cs="Arial"/>
          <w:bCs/>
          <w:lang w:val="fr-CA"/>
        </w:rPr>
        <w:t>tuyaux en PEX</w:t>
      </w:r>
      <w:r w:rsidRPr="00C73E83">
        <w:rPr>
          <w:rFonts w:ascii="Arial" w:hAnsi="Arial" w:cs="Arial"/>
          <w:bCs/>
          <w:lang w:val="fr-CA"/>
        </w:rPr>
        <w:t xml:space="preserve"> traversant des dalles de béton structurelles doivent être </w:t>
      </w:r>
      <w:proofErr w:type="spellStart"/>
      <w:r w:rsidRPr="00C73E83">
        <w:rPr>
          <w:rFonts w:ascii="Arial" w:hAnsi="Arial" w:cs="Arial"/>
          <w:bCs/>
          <w:lang w:val="fr-CA"/>
        </w:rPr>
        <w:t>prégainés</w:t>
      </w:r>
      <w:proofErr w:type="spellEnd"/>
      <w:r w:rsidRPr="00C73E83">
        <w:rPr>
          <w:rFonts w:ascii="Arial" w:hAnsi="Arial" w:cs="Arial"/>
          <w:bCs/>
          <w:lang w:val="fr-CA"/>
        </w:rPr>
        <w:t xml:space="preserve"> avec du polyéthylène ondulé</w:t>
      </w:r>
      <w:r w:rsidR="0099340D" w:rsidRPr="00C73E83">
        <w:rPr>
          <w:rFonts w:ascii="Arial" w:hAnsi="Arial" w:cs="Arial"/>
          <w:bCs/>
          <w:lang w:val="fr-CA"/>
        </w:rPr>
        <w:t xml:space="preserve"> fourni par le fabricant.</w:t>
      </w:r>
    </w:p>
    <w:p w14:paraId="6A2508E6" w14:textId="715EFDDB"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Les </w:t>
      </w:r>
      <w:r w:rsidR="0099340D" w:rsidRPr="00C73E83">
        <w:rPr>
          <w:rFonts w:ascii="Arial" w:hAnsi="Arial" w:cs="Arial"/>
          <w:bCs/>
          <w:lang w:val="fr-CA"/>
        </w:rPr>
        <w:t>tuyaux en PEX</w:t>
      </w:r>
      <w:r w:rsidRPr="00C73E83">
        <w:rPr>
          <w:rFonts w:ascii="Arial" w:hAnsi="Arial" w:cs="Arial"/>
          <w:bCs/>
          <w:lang w:val="fr-CA"/>
        </w:rPr>
        <w:t xml:space="preserve"> traversant des tiges de métal doivent utiliser des passe-câbles ou des gaines au point d’insertion.</w:t>
      </w:r>
    </w:p>
    <w:p w14:paraId="29D359C4" w14:textId="2EF63F61"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Protéger les </w:t>
      </w:r>
      <w:r w:rsidR="0099340D" w:rsidRPr="00C73E83">
        <w:rPr>
          <w:rFonts w:ascii="Arial" w:hAnsi="Arial" w:cs="Arial"/>
          <w:bCs/>
          <w:lang w:val="fr-CA"/>
        </w:rPr>
        <w:t>tuyaux en PEX</w:t>
      </w:r>
      <w:r w:rsidRPr="00C73E83">
        <w:rPr>
          <w:rFonts w:ascii="Arial" w:hAnsi="Arial" w:cs="Arial"/>
          <w:bCs/>
          <w:lang w:val="fr-CA"/>
        </w:rPr>
        <w:t xml:space="preserve"> avec des gaines là où il pourrait y avoir frottement.</w:t>
      </w:r>
    </w:p>
    <w:p w14:paraId="2C27717F" w14:textId="2F4D78EF" w:rsidR="006962EA" w:rsidRDefault="006962EA" w:rsidP="0099340D">
      <w:pPr>
        <w:numPr>
          <w:ilvl w:val="3"/>
          <w:numId w:val="12"/>
        </w:numPr>
        <w:rPr>
          <w:rFonts w:ascii="Arial" w:hAnsi="Arial" w:cs="Arial"/>
          <w:bCs/>
          <w:lang w:val="fr-CA"/>
        </w:rPr>
      </w:pPr>
      <w:r w:rsidRPr="00C73E83">
        <w:rPr>
          <w:rFonts w:ascii="Arial" w:hAnsi="Arial" w:cs="Arial"/>
          <w:bCs/>
          <w:lang w:val="fr-CA"/>
        </w:rPr>
        <w:t xml:space="preserve">Utiliser des protections contre les chocs là où les </w:t>
      </w:r>
      <w:r w:rsidR="0099340D" w:rsidRPr="00C73E83">
        <w:rPr>
          <w:rFonts w:ascii="Arial" w:hAnsi="Arial" w:cs="Arial"/>
          <w:bCs/>
          <w:lang w:val="fr-CA"/>
        </w:rPr>
        <w:t>tuyaux en PEX</w:t>
      </w:r>
      <w:r w:rsidRPr="00C73E83">
        <w:rPr>
          <w:rFonts w:ascii="Arial" w:hAnsi="Arial" w:cs="Arial"/>
          <w:bCs/>
          <w:lang w:val="fr-CA"/>
        </w:rPr>
        <w:t xml:space="preserve"> pourraient entrer en contact avec des clous ou des vis.</w:t>
      </w:r>
    </w:p>
    <w:p w14:paraId="3866DFFC" w14:textId="7DFA75BB" w:rsidR="00191399" w:rsidRPr="00C73E83" w:rsidRDefault="00670438" w:rsidP="0099340D">
      <w:pPr>
        <w:numPr>
          <w:ilvl w:val="3"/>
          <w:numId w:val="12"/>
        </w:numPr>
        <w:rPr>
          <w:rFonts w:ascii="Arial" w:hAnsi="Arial" w:cs="Arial"/>
          <w:bCs/>
          <w:lang w:val="fr-CA"/>
        </w:rPr>
      </w:pPr>
      <w:r w:rsidRPr="00670438">
        <w:rPr>
          <w:rFonts w:ascii="Arial" w:hAnsi="Arial" w:cs="Arial"/>
          <w:bCs/>
        </w:rPr>
        <w:t xml:space="preserve">Les supports de </w:t>
      </w:r>
      <w:proofErr w:type="spellStart"/>
      <w:r w:rsidRPr="00670438">
        <w:rPr>
          <w:rFonts w:ascii="Arial" w:hAnsi="Arial" w:cs="Arial"/>
          <w:bCs/>
        </w:rPr>
        <w:t>courbe</w:t>
      </w:r>
      <w:proofErr w:type="spellEnd"/>
      <w:r w:rsidRPr="00670438">
        <w:rPr>
          <w:rFonts w:ascii="Arial" w:hAnsi="Arial" w:cs="Arial"/>
          <w:bCs/>
        </w:rPr>
        <w:t xml:space="preserve"> du </w:t>
      </w:r>
      <w:proofErr w:type="spellStart"/>
      <w:r w:rsidRPr="00670438">
        <w:rPr>
          <w:rFonts w:ascii="Arial" w:hAnsi="Arial" w:cs="Arial"/>
          <w:bCs/>
        </w:rPr>
        <w:t>manufacturier</w:t>
      </w:r>
      <w:proofErr w:type="spellEnd"/>
      <w:r w:rsidRPr="00670438">
        <w:rPr>
          <w:rFonts w:ascii="Arial" w:hAnsi="Arial" w:cs="Arial"/>
          <w:bCs/>
        </w:rPr>
        <w:t xml:space="preserve"> </w:t>
      </w:r>
      <w:proofErr w:type="spellStart"/>
      <w:r w:rsidRPr="00670438">
        <w:rPr>
          <w:rFonts w:ascii="Arial" w:hAnsi="Arial" w:cs="Arial"/>
          <w:bCs/>
        </w:rPr>
        <w:t>devront</w:t>
      </w:r>
      <w:proofErr w:type="spellEnd"/>
      <w:r w:rsidRPr="00670438">
        <w:rPr>
          <w:rFonts w:ascii="Arial" w:hAnsi="Arial" w:cs="Arial"/>
          <w:bCs/>
        </w:rPr>
        <w:t xml:space="preserve"> </w:t>
      </w:r>
      <w:proofErr w:type="spellStart"/>
      <w:r w:rsidRPr="00670438">
        <w:rPr>
          <w:rFonts w:ascii="Arial" w:hAnsi="Arial" w:cs="Arial"/>
          <w:bCs/>
        </w:rPr>
        <w:t>être</w:t>
      </w:r>
      <w:proofErr w:type="spellEnd"/>
      <w:r w:rsidRPr="00670438">
        <w:rPr>
          <w:rFonts w:ascii="Arial" w:hAnsi="Arial" w:cs="Arial"/>
          <w:bCs/>
        </w:rPr>
        <w:t xml:space="preserve"> </w:t>
      </w:r>
      <w:proofErr w:type="spellStart"/>
      <w:r w:rsidRPr="00670438">
        <w:rPr>
          <w:rFonts w:ascii="Arial" w:hAnsi="Arial" w:cs="Arial"/>
          <w:bCs/>
        </w:rPr>
        <w:t>utilisés</w:t>
      </w:r>
      <w:proofErr w:type="spellEnd"/>
      <w:r w:rsidRPr="00670438">
        <w:rPr>
          <w:rFonts w:ascii="Arial" w:hAnsi="Arial" w:cs="Arial"/>
          <w:bCs/>
        </w:rPr>
        <w:t xml:space="preserve"> </w:t>
      </w:r>
      <w:proofErr w:type="spellStart"/>
      <w:r w:rsidRPr="00670438">
        <w:rPr>
          <w:rFonts w:ascii="Arial" w:hAnsi="Arial" w:cs="Arial"/>
          <w:bCs/>
        </w:rPr>
        <w:t>lorsque</w:t>
      </w:r>
      <w:proofErr w:type="spellEnd"/>
      <w:r w:rsidRPr="00670438">
        <w:rPr>
          <w:rFonts w:ascii="Arial" w:hAnsi="Arial" w:cs="Arial"/>
          <w:bCs/>
        </w:rPr>
        <w:t xml:space="preserve"> la </w:t>
      </w:r>
      <w:proofErr w:type="spellStart"/>
      <w:r w:rsidRPr="00670438">
        <w:rPr>
          <w:rFonts w:ascii="Arial" w:hAnsi="Arial" w:cs="Arial"/>
          <w:bCs/>
        </w:rPr>
        <w:t>courbe</w:t>
      </w:r>
      <w:proofErr w:type="spellEnd"/>
      <w:r w:rsidRPr="00670438">
        <w:rPr>
          <w:rFonts w:ascii="Arial" w:hAnsi="Arial" w:cs="Arial"/>
          <w:bCs/>
        </w:rPr>
        <w:t xml:space="preserve"> du </w:t>
      </w:r>
      <w:proofErr w:type="spellStart"/>
      <w:r w:rsidRPr="00670438">
        <w:rPr>
          <w:rFonts w:ascii="Arial" w:hAnsi="Arial" w:cs="Arial"/>
          <w:bCs/>
        </w:rPr>
        <w:t>tuyau</w:t>
      </w:r>
      <w:proofErr w:type="spellEnd"/>
      <w:r w:rsidRPr="00670438">
        <w:rPr>
          <w:rFonts w:ascii="Arial" w:hAnsi="Arial" w:cs="Arial"/>
          <w:bCs/>
        </w:rPr>
        <w:t xml:space="preserve"> est </w:t>
      </w:r>
      <w:proofErr w:type="spellStart"/>
      <w:r w:rsidRPr="00670438">
        <w:rPr>
          <w:rFonts w:ascii="Arial" w:hAnsi="Arial" w:cs="Arial"/>
          <w:bCs/>
        </w:rPr>
        <w:t>inférieur</w:t>
      </w:r>
      <w:proofErr w:type="spellEnd"/>
      <w:r w:rsidRPr="00670438">
        <w:rPr>
          <w:rFonts w:ascii="Arial" w:hAnsi="Arial" w:cs="Arial"/>
          <w:bCs/>
        </w:rPr>
        <w:t xml:space="preserve"> à 6 </w:t>
      </w:r>
      <w:proofErr w:type="spellStart"/>
      <w:r w:rsidRPr="00670438">
        <w:rPr>
          <w:rFonts w:ascii="Arial" w:hAnsi="Arial" w:cs="Arial"/>
          <w:bCs/>
        </w:rPr>
        <w:t>fois</w:t>
      </w:r>
      <w:proofErr w:type="spellEnd"/>
      <w:r w:rsidRPr="00670438">
        <w:rPr>
          <w:rFonts w:ascii="Arial" w:hAnsi="Arial" w:cs="Arial"/>
          <w:bCs/>
        </w:rPr>
        <w:t xml:space="preserve"> le </w:t>
      </w:r>
      <w:proofErr w:type="spellStart"/>
      <w:r w:rsidRPr="00670438">
        <w:rPr>
          <w:rFonts w:ascii="Arial" w:hAnsi="Arial" w:cs="Arial"/>
          <w:bCs/>
        </w:rPr>
        <w:t>diamètre</w:t>
      </w:r>
      <w:proofErr w:type="spellEnd"/>
      <w:r w:rsidRPr="00670438">
        <w:rPr>
          <w:rFonts w:ascii="Arial" w:hAnsi="Arial" w:cs="Arial"/>
          <w:bCs/>
        </w:rPr>
        <w:t xml:space="preserve"> </w:t>
      </w:r>
      <w:proofErr w:type="spellStart"/>
      <w:r w:rsidRPr="00670438">
        <w:rPr>
          <w:rFonts w:ascii="Arial" w:hAnsi="Arial" w:cs="Arial"/>
          <w:bCs/>
        </w:rPr>
        <w:t>extérieur</w:t>
      </w:r>
      <w:proofErr w:type="spellEnd"/>
      <w:r w:rsidRPr="00670438">
        <w:rPr>
          <w:rFonts w:ascii="Arial" w:hAnsi="Arial" w:cs="Arial"/>
          <w:bCs/>
        </w:rPr>
        <w:t xml:space="preserve"> du </w:t>
      </w:r>
      <w:proofErr w:type="spellStart"/>
      <w:r w:rsidRPr="00670438">
        <w:rPr>
          <w:rFonts w:ascii="Arial" w:hAnsi="Arial" w:cs="Arial"/>
          <w:bCs/>
        </w:rPr>
        <w:t>tuyau</w:t>
      </w:r>
      <w:proofErr w:type="spellEnd"/>
      <w:r>
        <w:rPr>
          <w:rFonts w:ascii="Arial" w:hAnsi="Arial" w:cs="Arial"/>
          <w:bCs/>
        </w:rPr>
        <w:t>.</w:t>
      </w:r>
    </w:p>
    <w:p w14:paraId="5712FF90" w14:textId="77777777" w:rsidR="0099340D" w:rsidRPr="00C73E83" w:rsidRDefault="0099340D" w:rsidP="0099340D">
      <w:pPr>
        <w:numPr>
          <w:ilvl w:val="3"/>
          <w:numId w:val="12"/>
        </w:numPr>
        <w:rPr>
          <w:rFonts w:ascii="Arial" w:hAnsi="Arial" w:cs="Arial"/>
          <w:bCs/>
          <w:lang w:val="fr-CA"/>
        </w:rPr>
      </w:pPr>
      <w:r w:rsidRPr="00C73E83">
        <w:rPr>
          <w:rFonts w:ascii="Arial" w:hAnsi="Arial" w:cs="Arial"/>
          <w:bCs/>
          <w:lang w:val="fr-CA"/>
        </w:rPr>
        <w:t>Conformément au code, installer des supports aux 32 po. Si un soutien supplémentaire est nécessaire, utiliser un support de tuyauterie PEX-a conformément aux recommandations d'installation du fabricant.</w:t>
      </w:r>
    </w:p>
    <w:p w14:paraId="3B8A4527" w14:textId="17D7770E" w:rsidR="0099340D" w:rsidRDefault="006962EA" w:rsidP="0099340D">
      <w:pPr>
        <w:numPr>
          <w:ilvl w:val="3"/>
          <w:numId w:val="12"/>
        </w:numPr>
        <w:rPr>
          <w:rFonts w:ascii="Arial" w:hAnsi="Arial" w:cs="Arial"/>
          <w:bCs/>
          <w:lang w:val="fr-CA"/>
        </w:rPr>
      </w:pPr>
      <w:r w:rsidRPr="00C73E83">
        <w:rPr>
          <w:rFonts w:ascii="Arial" w:hAnsi="Arial" w:cs="Arial"/>
          <w:bCs/>
          <w:lang w:val="fr-CA"/>
        </w:rPr>
        <w:t xml:space="preserve">Les raccordements de la tuyauterie </w:t>
      </w:r>
      <w:r w:rsidR="0099340D" w:rsidRPr="00C73E83">
        <w:rPr>
          <w:rFonts w:ascii="Arial" w:hAnsi="Arial" w:cs="Arial"/>
          <w:bCs/>
          <w:lang w:val="fr-CA"/>
        </w:rPr>
        <w:t xml:space="preserve">en </w:t>
      </w:r>
      <w:r w:rsidRPr="00C73E83">
        <w:rPr>
          <w:rFonts w:ascii="Arial" w:hAnsi="Arial" w:cs="Arial"/>
          <w:bCs/>
          <w:lang w:val="fr-CA"/>
        </w:rPr>
        <w:t>PEX doivent être effectués en conformité avec la norme ASTM F1960.</w:t>
      </w:r>
    </w:p>
    <w:p w14:paraId="6018549D" w14:textId="67EFB23C" w:rsidR="00F76750" w:rsidRPr="00C73E83" w:rsidRDefault="00F76750" w:rsidP="0099340D">
      <w:pPr>
        <w:numPr>
          <w:ilvl w:val="3"/>
          <w:numId w:val="12"/>
        </w:numPr>
        <w:rPr>
          <w:rFonts w:ascii="Arial" w:hAnsi="Arial" w:cs="Arial"/>
          <w:bCs/>
          <w:lang w:val="fr-CA"/>
        </w:rPr>
      </w:pPr>
      <w:r w:rsidRPr="00F76750">
        <w:rPr>
          <w:rFonts w:ascii="Arial" w:hAnsi="Arial" w:cs="Arial"/>
          <w:bCs/>
        </w:rPr>
        <w:t xml:space="preserve">Il est important de </w:t>
      </w:r>
      <w:proofErr w:type="spellStart"/>
      <w:r w:rsidRPr="00F76750">
        <w:rPr>
          <w:rFonts w:ascii="Arial" w:hAnsi="Arial" w:cs="Arial"/>
          <w:bCs/>
        </w:rPr>
        <w:t>s’assurer</w:t>
      </w:r>
      <w:proofErr w:type="spellEnd"/>
      <w:r w:rsidRPr="00F76750">
        <w:rPr>
          <w:rFonts w:ascii="Arial" w:hAnsi="Arial" w:cs="Arial"/>
          <w:bCs/>
        </w:rPr>
        <w:t xml:space="preserve"> </w:t>
      </w:r>
      <w:proofErr w:type="spellStart"/>
      <w:r w:rsidRPr="00F76750">
        <w:rPr>
          <w:rFonts w:ascii="Arial" w:hAnsi="Arial" w:cs="Arial"/>
          <w:bCs/>
        </w:rPr>
        <w:t>que</w:t>
      </w:r>
      <w:proofErr w:type="spellEnd"/>
      <w:r w:rsidRPr="00F76750">
        <w:rPr>
          <w:rFonts w:ascii="Arial" w:hAnsi="Arial" w:cs="Arial"/>
          <w:bCs/>
        </w:rPr>
        <w:t xml:space="preserve"> le </w:t>
      </w:r>
      <w:proofErr w:type="spellStart"/>
      <w:proofErr w:type="gramStart"/>
      <w:r w:rsidRPr="00F76750">
        <w:rPr>
          <w:rFonts w:ascii="Arial" w:hAnsi="Arial" w:cs="Arial"/>
          <w:bCs/>
        </w:rPr>
        <w:t>matériau</w:t>
      </w:r>
      <w:proofErr w:type="spellEnd"/>
      <w:r w:rsidRPr="00F76750">
        <w:rPr>
          <w:rFonts w:ascii="Arial" w:hAnsi="Arial" w:cs="Arial"/>
          <w:bCs/>
        </w:rPr>
        <w:t> </w:t>
      </w:r>
      <w:r>
        <w:rPr>
          <w:rFonts w:ascii="Arial" w:hAnsi="Arial" w:cs="Arial"/>
          <w:bCs/>
        </w:rPr>
        <w:t xml:space="preserve"> </w:t>
      </w:r>
      <w:r w:rsidRPr="00F76750">
        <w:rPr>
          <w:rFonts w:ascii="Arial" w:hAnsi="Arial" w:cs="Arial"/>
          <w:bCs/>
        </w:rPr>
        <w:t>coupe</w:t>
      </w:r>
      <w:proofErr w:type="gramEnd"/>
      <w:r w:rsidRPr="00F76750">
        <w:rPr>
          <w:rFonts w:ascii="Arial" w:hAnsi="Arial" w:cs="Arial"/>
          <w:bCs/>
        </w:rPr>
        <w:t xml:space="preserve">-feu </w:t>
      </w:r>
      <w:proofErr w:type="spellStart"/>
      <w:r w:rsidRPr="00F76750">
        <w:rPr>
          <w:rFonts w:ascii="Arial" w:hAnsi="Arial" w:cs="Arial"/>
          <w:bCs/>
        </w:rPr>
        <w:t>défini</w:t>
      </w:r>
      <w:proofErr w:type="spellEnd"/>
      <w:r w:rsidRPr="00F76750">
        <w:rPr>
          <w:rFonts w:ascii="Arial" w:hAnsi="Arial" w:cs="Arial"/>
          <w:bCs/>
        </w:rPr>
        <w:t xml:space="preserve"> pour </w:t>
      </w:r>
      <w:proofErr w:type="spellStart"/>
      <w:r w:rsidRPr="00F76750">
        <w:rPr>
          <w:rFonts w:ascii="Arial" w:hAnsi="Arial" w:cs="Arial"/>
          <w:bCs/>
        </w:rPr>
        <w:t>l’installation</w:t>
      </w:r>
      <w:proofErr w:type="spellEnd"/>
      <w:r w:rsidRPr="00F76750">
        <w:rPr>
          <w:rFonts w:ascii="Arial" w:hAnsi="Arial" w:cs="Arial"/>
          <w:bCs/>
        </w:rPr>
        <w:t xml:space="preserve"> (c.-à-d., </w:t>
      </w:r>
      <w:proofErr w:type="gramStart"/>
      <w:r w:rsidRPr="00F76750">
        <w:rPr>
          <w:rFonts w:ascii="Arial" w:hAnsi="Arial" w:cs="Arial"/>
          <w:bCs/>
        </w:rPr>
        <w:t>le </w:t>
      </w:r>
      <w:r>
        <w:rPr>
          <w:rFonts w:ascii="Arial" w:hAnsi="Arial" w:cs="Arial"/>
          <w:bCs/>
        </w:rPr>
        <w:t xml:space="preserve"> </w:t>
      </w:r>
      <w:proofErr w:type="spellStart"/>
      <w:r w:rsidRPr="00F76750">
        <w:rPr>
          <w:rFonts w:ascii="Arial" w:hAnsi="Arial" w:cs="Arial"/>
          <w:bCs/>
        </w:rPr>
        <w:t>scellant</w:t>
      </w:r>
      <w:proofErr w:type="spellEnd"/>
      <w:proofErr w:type="gramEnd"/>
      <w:r w:rsidRPr="00F76750">
        <w:rPr>
          <w:rFonts w:ascii="Arial" w:hAnsi="Arial" w:cs="Arial"/>
          <w:bCs/>
        </w:rPr>
        <w:t xml:space="preserve">) ne </w:t>
      </w:r>
      <w:proofErr w:type="spellStart"/>
      <w:r w:rsidRPr="00F76750">
        <w:rPr>
          <w:rFonts w:ascii="Arial" w:hAnsi="Arial" w:cs="Arial"/>
          <w:bCs/>
        </w:rPr>
        <w:t>soit</w:t>
      </w:r>
      <w:proofErr w:type="spellEnd"/>
      <w:r w:rsidRPr="00F76750">
        <w:rPr>
          <w:rFonts w:ascii="Arial" w:hAnsi="Arial" w:cs="Arial"/>
          <w:bCs/>
        </w:rPr>
        <w:t xml:space="preserve"> jamais </w:t>
      </w:r>
      <w:proofErr w:type="spellStart"/>
      <w:r w:rsidRPr="00F76750">
        <w:rPr>
          <w:rFonts w:ascii="Arial" w:hAnsi="Arial" w:cs="Arial"/>
          <w:bCs/>
        </w:rPr>
        <w:t>en</w:t>
      </w:r>
      <w:proofErr w:type="spellEnd"/>
      <w:r w:rsidRPr="00F76750">
        <w:rPr>
          <w:rFonts w:ascii="Arial" w:hAnsi="Arial" w:cs="Arial"/>
          <w:bCs/>
        </w:rPr>
        <w:t xml:space="preserve"> contact avec les </w:t>
      </w:r>
      <w:proofErr w:type="spellStart"/>
      <w:r w:rsidRPr="00F76750">
        <w:rPr>
          <w:rFonts w:ascii="Arial" w:hAnsi="Arial" w:cs="Arial"/>
          <w:bCs/>
        </w:rPr>
        <w:t>raccords</w:t>
      </w:r>
      <w:proofErr w:type="spellEnd"/>
      <w:r w:rsidRPr="00F76750">
        <w:rPr>
          <w:rFonts w:ascii="Arial" w:hAnsi="Arial" w:cs="Arial"/>
          <w:bCs/>
        </w:rPr>
        <w:t xml:space="preserve"> </w:t>
      </w:r>
      <w:proofErr w:type="spellStart"/>
      <w:r w:rsidRPr="00F76750">
        <w:rPr>
          <w:rFonts w:ascii="Arial" w:hAnsi="Arial" w:cs="Arial"/>
          <w:bCs/>
        </w:rPr>
        <w:t>en</w:t>
      </w:r>
      <w:proofErr w:type="spellEnd"/>
      <w:r w:rsidRPr="00F76750">
        <w:rPr>
          <w:rFonts w:ascii="Arial" w:hAnsi="Arial" w:cs="Arial"/>
          <w:bCs/>
        </w:rPr>
        <w:t xml:space="preserve"> EP </w:t>
      </w:r>
      <w:proofErr w:type="spellStart"/>
      <w:r w:rsidRPr="00F76750">
        <w:rPr>
          <w:rFonts w:ascii="Arial" w:hAnsi="Arial" w:cs="Arial"/>
          <w:bCs/>
        </w:rPr>
        <w:t>d’Uponor</w:t>
      </w:r>
      <w:proofErr w:type="spellEnd"/>
      <w:r w:rsidRPr="00F76750">
        <w:rPr>
          <w:rFonts w:ascii="Arial" w:hAnsi="Arial" w:cs="Arial"/>
          <w:bCs/>
        </w:rPr>
        <w:t>.</w:t>
      </w:r>
    </w:p>
    <w:p w14:paraId="4EC242FF" w14:textId="7BE2A59A" w:rsidR="0099340D" w:rsidRPr="00C73E83" w:rsidRDefault="0099340D" w:rsidP="0099340D">
      <w:pPr>
        <w:numPr>
          <w:ilvl w:val="3"/>
          <w:numId w:val="12"/>
        </w:numPr>
        <w:rPr>
          <w:rFonts w:ascii="Arial" w:hAnsi="Arial" w:cs="Arial"/>
          <w:bCs/>
          <w:lang w:val="fr-CA"/>
        </w:rPr>
      </w:pPr>
      <w:r w:rsidRPr="00C73E83">
        <w:rPr>
          <w:rFonts w:ascii="Arial" w:hAnsi="Arial" w:cs="Arial"/>
          <w:bCs/>
          <w:lang w:val="fr-CA"/>
        </w:rPr>
        <w:t>Les tuyaux en PEX doivent être installés conformément aux exigences de la norme CAN/ULC-S102.2 pour les applications de plénum.</w:t>
      </w:r>
    </w:p>
    <w:p w14:paraId="0845397B" w14:textId="5CC15C64"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Les tés à orifices multiples doivent être intégrés au </w:t>
      </w:r>
      <w:r w:rsidR="0099340D" w:rsidRPr="00C73E83">
        <w:rPr>
          <w:rFonts w:ascii="Arial" w:hAnsi="Arial" w:cs="Arial"/>
          <w:bCs/>
          <w:lang w:val="fr-CA"/>
        </w:rPr>
        <w:t>réseau</w:t>
      </w:r>
      <w:r w:rsidRPr="00C73E83">
        <w:rPr>
          <w:rFonts w:ascii="Arial" w:hAnsi="Arial" w:cs="Arial"/>
          <w:bCs/>
          <w:lang w:val="fr-CA"/>
        </w:rPr>
        <w:t xml:space="preserve"> lorsque possible, afin de minimiser les pertes de pression dans le </w:t>
      </w:r>
      <w:r w:rsidR="0099340D" w:rsidRPr="00C73E83">
        <w:rPr>
          <w:rFonts w:ascii="Arial" w:hAnsi="Arial" w:cs="Arial"/>
          <w:bCs/>
          <w:lang w:val="fr-CA"/>
        </w:rPr>
        <w:t>réseau</w:t>
      </w:r>
      <w:r w:rsidRPr="00C73E83">
        <w:rPr>
          <w:rFonts w:ascii="Arial" w:hAnsi="Arial" w:cs="Arial"/>
          <w:bCs/>
          <w:lang w:val="fr-CA"/>
        </w:rPr>
        <w:t xml:space="preserve"> de distribution.</w:t>
      </w:r>
    </w:p>
    <w:p w14:paraId="517CFD17" w14:textId="15455384" w:rsidR="0099340D" w:rsidRPr="00C73E83" w:rsidRDefault="0099340D" w:rsidP="0099340D">
      <w:pPr>
        <w:numPr>
          <w:ilvl w:val="3"/>
          <w:numId w:val="12"/>
        </w:numPr>
        <w:rPr>
          <w:rFonts w:ascii="Arial" w:hAnsi="Arial" w:cs="Arial"/>
          <w:bCs/>
          <w:lang w:val="fr-CA"/>
        </w:rPr>
      </w:pPr>
      <w:r w:rsidRPr="00C73E83">
        <w:rPr>
          <w:rFonts w:ascii="Arial" w:hAnsi="Arial" w:cs="Arial"/>
          <w:bCs/>
          <w:lang w:val="fr-FR"/>
        </w:rPr>
        <w:t>Lorsque la variation de température du système (ΔT) est supérieure à 40 °F (22 °C), un guide mi-étage peut être nécessaire pour faciliter la dilatation et la contraction.</w:t>
      </w:r>
    </w:p>
    <w:p w14:paraId="35BD477B" w14:textId="43063E69"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Une bride pour colonne montante doit être installée au sommet de tous les étages et à chaque deux plafonds avec toutes les colonnes montantes PEX.</w:t>
      </w:r>
    </w:p>
    <w:p w14:paraId="396C048A" w14:textId="7986DA7D"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Les supports muraux du fabricant doivent être utilisés partout où la membrane murale est traversée.</w:t>
      </w:r>
    </w:p>
    <w:p w14:paraId="3E1114F4" w14:textId="5113676B"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 xml:space="preserve">Pressuriser le </w:t>
      </w:r>
      <w:r w:rsidR="0099340D" w:rsidRPr="00C73E83">
        <w:rPr>
          <w:rFonts w:ascii="Arial" w:hAnsi="Arial" w:cs="Arial"/>
          <w:bCs/>
          <w:lang w:val="fr-CA"/>
        </w:rPr>
        <w:t>réseau</w:t>
      </w:r>
      <w:r w:rsidRPr="00C73E83">
        <w:rPr>
          <w:rFonts w:ascii="Arial" w:hAnsi="Arial" w:cs="Arial"/>
          <w:bCs/>
          <w:lang w:val="fr-CA"/>
        </w:rPr>
        <w:t xml:space="preserve"> de distribution d’eau potable </w:t>
      </w:r>
      <w:r w:rsidR="0099340D" w:rsidRPr="00C73E83">
        <w:rPr>
          <w:rFonts w:ascii="Arial" w:hAnsi="Arial" w:cs="Arial"/>
          <w:bCs/>
          <w:lang w:val="fr-CA"/>
        </w:rPr>
        <w:t xml:space="preserve">en </w:t>
      </w:r>
      <w:r w:rsidRPr="00C73E83">
        <w:rPr>
          <w:rFonts w:ascii="Arial" w:hAnsi="Arial" w:cs="Arial"/>
          <w:bCs/>
          <w:lang w:val="fr-CA"/>
        </w:rPr>
        <w:t>PEX avec de l’air ou de l’eau, en conformité avec les codes applicables ou</w:t>
      </w:r>
      <w:r w:rsidR="0099340D" w:rsidRPr="00C73E83">
        <w:rPr>
          <w:rFonts w:ascii="Arial" w:hAnsi="Arial" w:cs="Arial"/>
          <w:bCs/>
          <w:lang w:val="fr-CA"/>
        </w:rPr>
        <w:t xml:space="preserve"> selon les recommandations du fabricant.</w:t>
      </w:r>
    </w:p>
    <w:p w14:paraId="305DA4BE" w14:textId="08B2E277" w:rsidR="006962EA" w:rsidRPr="00C73E83" w:rsidRDefault="006962EA" w:rsidP="0099340D">
      <w:pPr>
        <w:numPr>
          <w:ilvl w:val="3"/>
          <w:numId w:val="12"/>
        </w:numPr>
        <w:rPr>
          <w:rFonts w:ascii="Arial" w:hAnsi="Arial" w:cs="Arial"/>
          <w:bCs/>
          <w:lang w:val="fr-CA"/>
        </w:rPr>
      </w:pPr>
      <w:r w:rsidRPr="00C73E83">
        <w:rPr>
          <w:rFonts w:ascii="Arial" w:hAnsi="Arial" w:cs="Arial"/>
          <w:bCs/>
          <w:lang w:val="fr-CA"/>
        </w:rPr>
        <w:t>Se conformer aux directives de sécurité lors du test de pression, y compris l’utilisation d’air comprimé, le cas échéant. Ne pas utiliser l’eau pour pressuriser le système si la température d’air ambiant risque de baisser sous 32 °F (0 °C).</w:t>
      </w:r>
    </w:p>
    <w:p w14:paraId="66585D64" w14:textId="6D1D7E7D" w:rsidR="006962EA" w:rsidRPr="00C73E83" w:rsidRDefault="006962EA" w:rsidP="006962EA">
      <w:pPr>
        <w:numPr>
          <w:ilvl w:val="2"/>
          <w:numId w:val="12"/>
        </w:numPr>
        <w:rPr>
          <w:rFonts w:ascii="Arial" w:hAnsi="Arial" w:cs="Arial"/>
          <w:bCs/>
          <w:lang w:val="fr-CA"/>
        </w:rPr>
      </w:pPr>
      <w:r w:rsidRPr="00C73E83">
        <w:rPr>
          <w:rFonts w:ascii="Arial" w:hAnsi="Arial" w:cs="Arial"/>
          <w:bCs/>
          <w:lang w:val="fr-CA"/>
        </w:rPr>
        <w:t>Installation de produits connexes : Consulter les autres sections mentionnées dans le paragraphe « Sections connexes » pour l’installation de produits connexes.</w:t>
      </w:r>
    </w:p>
    <w:p w14:paraId="1342AC2C" w14:textId="77777777" w:rsidR="006962EA" w:rsidRPr="00C73E83" w:rsidRDefault="006962EA" w:rsidP="006962EA">
      <w:pPr>
        <w:ind w:left="1440"/>
        <w:rPr>
          <w:rFonts w:ascii="Arial" w:hAnsi="Arial" w:cs="Arial"/>
          <w:bCs/>
          <w:lang w:val="fr-CA"/>
        </w:rPr>
      </w:pPr>
    </w:p>
    <w:p w14:paraId="732E6939" w14:textId="556DCDF2" w:rsidR="00876525" w:rsidRPr="00C73E83" w:rsidRDefault="00263F49" w:rsidP="001D66A1">
      <w:pPr>
        <w:numPr>
          <w:ilvl w:val="1"/>
          <w:numId w:val="4"/>
        </w:numPr>
        <w:rPr>
          <w:rFonts w:ascii="Arial" w:hAnsi="Arial" w:cs="Arial"/>
          <w:b/>
          <w:lang w:val="fr-CA"/>
        </w:rPr>
      </w:pPr>
      <w:r w:rsidRPr="00C73E83">
        <w:rPr>
          <w:rFonts w:ascii="Arial" w:hAnsi="Arial" w:cs="Arial"/>
          <w:b/>
          <w:lang w:val="fr-CA"/>
        </w:rPr>
        <w:t>CONTRÔLE DE LA QUALITÉ SUR LE TERRAIN</w:t>
      </w:r>
    </w:p>
    <w:p w14:paraId="4945CE47" w14:textId="77777777" w:rsidR="0099340D" w:rsidRPr="00C73E83" w:rsidRDefault="0099340D" w:rsidP="0099340D">
      <w:pPr>
        <w:numPr>
          <w:ilvl w:val="2"/>
          <w:numId w:val="13"/>
        </w:numPr>
        <w:rPr>
          <w:rFonts w:ascii="Arial" w:hAnsi="Arial" w:cs="Arial"/>
          <w:bCs/>
          <w:lang w:val="fr-CA"/>
        </w:rPr>
      </w:pPr>
      <w:r w:rsidRPr="00C73E83">
        <w:rPr>
          <w:rFonts w:ascii="Arial" w:hAnsi="Arial" w:cs="Arial"/>
          <w:bCs/>
          <w:lang w:val="fr-CA"/>
        </w:rPr>
        <w:t>Tests sur le chantier (test pendant et après l’installation) : [Spécifier les exigences applicables en matière de tests à effectuer durant et après l’installation du produit].</w:t>
      </w:r>
    </w:p>
    <w:p w14:paraId="16074BEB" w14:textId="77777777" w:rsidR="0099340D" w:rsidRPr="00C73E83" w:rsidRDefault="0099340D" w:rsidP="0099340D">
      <w:pPr>
        <w:numPr>
          <w:ilvl w:val="2"/>
          <w:numId w:val="13"/>
        </w:numPr>
        <w:rPr>
          <w:rFonts w:ascii="Arial" w:hAnsi="Arial" w:cs="Arial"/>
          <w:bCs/>
          <w:lang w:val="fr-CA"/>
        </w:rPr>
      </w:pPr>
      <w:r w:rsidRPr="00C73E83">
        <w:rPr>
          <w:rFonts w:ascii="Arial" w:hAnsi="Arial" w:cs="Arial"/>
          <w:bCs/>
          <w:lang w:val="fr-CA"/>
        </w:rPr>
        <w:t>Services de terrain du fabricant : Fournir les services de terrain du fabricant, consistant des recommandations d’utilisation du produit et de visites régulières du chantier pour l’inspection de l’installation du produit en conformité avec les directives du fabricant.</w:t>
      </w:r>
    </w:p>
    <w:p w14:paraId="30F82CD8" w14:textId="77777777" w:rsidR="0099340D" w:rsidRPr="00C73E83" w:rsidRDefault="0099340D" w:rsidP="0099340D">
      <w:pPr>
        <w:numPr>
          <w:ilvl w:val="3"/>
          <w:numId w:val="13"/>
        </w:numPr>
        <w:rPr>
          <w:rFonts w:ascii="Arial" w:hAnsi="Arial" w:cs="Arial"/>
          <w:bCs/>
          <w:lang w:val="fr-CA"/>
        </w:rPr>
      </w:pPr>
      <w:r w:rsidRPr="00C73E83">
        <w:rPr>
          <w:rFonts w:ascii="Arial" w:hAnsi="Arial" w:cs="Arial"/>
          <w:bCs/>
          <w:lang w:val="fr-CA"/>
        </w:rPr>
        <w:t>Visites du chantier : [Spécifier le nombre et la durée des visites régulières]</w:t>
      </w:r>
    </w:p>
    <w:p w14:paraId="5C26F66B" w14:textId="77777777" w:rsidR="0099340D" w:rsidRPr="00C73E83" w:rsidRDefault="0099340D" w:rsidP="0099340D">
      <w:pPr>
        <w:ind w:left="1440"/>
        <w:rPr>
          <w:rFonts w:ascii="Arial" w:hAnsi="Arial" w:cs="Arial"/>
          <w:bCs/>
          <w:lang w:val="fr-CA"/>
        </w:rPr>
      </w:pPr>
    </w:p>
    <w:p w14:paraId="385A36A8" w14:textId="4BEBB059" w:rsidR="00876525" w:rsidRPr="00C73E83" w:rsidRDefault="00263F49" w:rsidP="001D66A1">
      <w:pPr>
        <w:numPr>
          <w:ilvl w:val="1"/>
          <w:numId w:val="4"/>
        </w:numPr>
        <w:rPr>
          <w:rFonts w:ascii="Arial" w:hAnsi="Arial" w:cs="Arial"/>
          <w:b/>
          <w:lang w:val="fr-CA"/>
        </w:rPr>
      </w:pPr>
      <w:r w:rsidRPr="00C73E83">
        <w:rPr>
          <w:rFonts w:ascii="Arial" w:hAnsi="Arial" w:cs="Arial"/>
          <w:b/>
          <w:lang w:val="fr-CA"/>
        </w:rPr>
        <w:t>NETTOYAGE</w:t>
      </w:r>
    </w:p>
    <w:p w14:paraId="7EB742C5" w14:textId="77777777" w:rsidR="0099340D" w:rsidRPr="00C73E83" w:rsidRDefault="0099340D" w:rsidP="00442C5C">
      <w:pPr>
        <w:numPr>
          <w:ilvl w:val="2"/>
          <w:numId w:val="14"/>
        </w:numPr>
        <w:rPr>
          <w:rFonts w:ascii="Arial" w:hAnsi="Arial" w:cs="Arial"/>
          <w:bCs/>
          <w:lang w:val="fr-CA"/>
        </w:rPr>
      </w:pPr>
      <w:r w:rsidRPr="00C73E83">
        <w:rPr>
          <w:rFonts w:ascii="Arial" w:hAnsi="Arial" w:cs="Arial"/>
          <w:bCs/>
          <w:lang w:val="fr-CA"/>
        </w:rPr>
        <w:t xml:space="preserve">Nettoyage : Retirer les protections temporaires des zones de travail adjacentes. Réparer et remplacer les produits endommagés. Nettoyer les produits installés en conformité avec les directives du fabricant avant l’accord du propriétaire. Retirer les débris du chantier et en disposer selon la loi. </w:t>
      </w:r>
    </w:p>
    <w:p w14:paraId="10DEA621" w14:textId="77777777" w:rsidR="0099340D" w:rsidRPr="00C73E83" w:rsidRDefault="0099340D" w:rsidP="0099340D">
      <w:pPr>
        <w:pStyle w:val="ARCATParagraph"/>
        <w:numPr>
          <w:ilvl w:val="2"/>
          <w:numId w:val="14"/>
        </w:numPr>
        <w:spacing w:after="0"/>
        <w:rPr>
          <w:rFonts w:ascii="Arial" w:hAnsi="Arial" w:cs="Arial"/>
          <w:sz w:val="20"/>
          <w:szCs w:val="20"/>
          <w:lang w:val="fr-CA"/>
        </w:rPr>
      </w:pPr>
      <w:r w:rsidRPr="00C73E83">
        <w:rPr>
          <w:rFonts w:ascii="Arial" w:hAnsi="Arial" w:cs="Arial"/>
          <w:sz w:val="20"/>
          <w:szCs w:val="20"/>
          <w:lang w:val="fr-CA"/>
        </w:rPr>
        <w:t>Désinfection du réseau d'eau</w:t>
      </w:r>
    </w:p>
    <w:p w14:paraId="4897EF7E" w14:textId="7BF2244B" w:rsidR="0099340D" w:rsidRPr="00C73E83" w:rsidRDefault="0099340D" w:rsidP="0099340D">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Les tuyaux AquaPEX d’</w:t>
      </w:r>
      <w:proofErr w:type="spellStart"/>
      <w:r w:rsidRPr="00C73E83">
        <w:rPr>
          <w:rFonts w:ascii="Arial" w:hAnsi="Arial" w:cs="Arial"/>
          <w:sz w:val="20"/>
          <w:szCs w:val="20"/>
          <w:lang w:val="fr-CA"/>
        </w:rPr>
        <w:t>Uponor</w:t>
      </w:r>
      <w:proofErr w:type="spellEnd"/>
      <w:r w:rsidRPr="00C73E83">
        <w:rPr>
          <w:rFonts w:ascii="Arial" w:hAnsi="Arial" w:cs="Arial"/>
          <w:sz w:val="20"/>
          <w:szCs w:val="20"/>
          <w:lang w:val="fr-CA"/>
        </w:rPr>
        <w:t xml:space="preserve"> doivent être désinfectés conformément aux </w:t>
      </w:r>
      <w:hyperlink r:id="rId17" w:history="1">
        <w:r w:rsidRPr="004D36F4">
          <w:rPr>
            <w:rStyle w:val="Hyperlink"/>
            <w:rFonts w:ascii="Arial" w:hAnsi="Arial" w:cs="Arial"/>
            <w:sz w:val="20"/>
            <w:szCs w:val="20"/>
            <w:lang w:val="fr-CA"/>
          </w:rPr>
          <w:t>directives de désinfection d’</w:t>
        </w:r>
        <w:proofErr w:type="spellStart"/>
        <w:r w:rsidRPr="004D36F4">
          <w:rPr>
            <w:rStyle w:val="Hyperlink"/>
            <w:rFonts w:ascii="Arial" w:hAnsi="Arial" w:cs="Arial"/>
            <w:sz w:val="20"/>
            <w:szCs w:val="20"/>
            <w:lang w:val="fr-CA"/>
          </w:rPr>
          <w:t>Uponor</w:t>
        </w:r>
        <w:proofErr w:type="spellEnd"/>
      </w:hyperlink>
      <w:r w:rsidRPr="00C73E83">
        <w:rPr>
          <w:rFonts w:ascii="Arial" w:hAnsi="Arial" w:cs="Arial"/>
          <w:sz w:val="20"/>
          <w:szCs w:val="20"/>
          <w:lang w:val="fr-CA"/>
        </w:rPr>
        <w:t xml:space="preserve"> ou aux exigences des codes locaux</w:t>
      </w:r>
    </w:p>
    <w:p w14:paraId="07CB94C3" w14:textId="77777777" w:rsidR="0099340D" w:rsidRPr="00C73E83" w:rsidRDefault="0099340D" w:rsidP="0099340D">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Utiliser des nettoyants sans pétrole</w:t>
      </w:r>
    </w:p>
    <w:p w14:paraId="2816A41B" w14:textId="77777777" w:rsidR="0099340D" w:rsidRPr="00C73E83" w:rsidRDefault="0099340D" w:rsidP="0099340D">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Ne pas dépasser un pH de 11</w:t>
      </w:r>
    </w:p>
    <w:p w14:paraId="07A25A2E" w14:textId="67451838" w:rsidR="0099340D" w:rsidRPr="00C73E83" w:rsidRDefault="0099340D" w:rsidP="0099340D">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lastRenderedPageBreak/>
        <w:t xml:space="preserve">Ne pas permettre au réseau de dépasser une pression de 80 </w:t>
      </w:r>
      <w:proofErr w:type="gramStart"/>
      <w:r w:rsidRPr="00C73E83">
        <w:rPr>
          <w:rFonts w:ascii="Arial" w:hAnsi="Arial" w:cs="Arial"/>
          <w:sz w:val="20"/>
          <w:szCs w:val="20"/>
          <w:lang w:val="fr-CA"/>
        </w:rPr>
        <w:t>psi</w:t>
      </w:r>
      <w:proofErr w:type="gramEnd"/>
      <w:r w:rsidRPr="00C73E83">
        <w:rPr>
          <w:rFonts w:ascii="Arial" w:hAnsi="Arial" w:cs="Arial"/>
          <w:sz w:val="20"/>
          <w:szCs w:val="20"/>
          <w:lang w:val="fr-CA"/>
        </w:rPr>
        <w:t xml:space="preserve"> lorsque la température de l’eau dépasse 120 °F (48,9 °C)</w:t>
      </w:r>
    </w:p>
    <w:p w14:paraId="17CE61F4" w14:textId="1AAFB006" w:rsidR="0099340D" w:rsidRPr="00C73E83" w:rsidRDefault="00C73E83" w:rsidP="0099340D">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U</w:t>
      </w:r>
      <w:r w:rsidR="0099340D" w:rsidRPr="00C73E83">
        <w:rPr>
          <w:rFonts w:ascii="Arial" w:hAnsi="Arial" w:cs="Arial"/>
          <w:sz w:val="20"/>
          <w:szCs w:val="20"/>
          <w:lang w:val="fr-CA"/>
        </w:rPr>
        <w:t xml:space="preserve">tiliser une solution </w:t>
      </w:r>
      <w:r w:rsidRPr="00C73E83">
        <w:rPr>
          <w:rFonts w:ascii="Arial" w:hAnsi="Arial" w:cs="Arial"/>
          <w:sz w:val="20"/>
          <w:szCs w:val="20"/>
          <w:lang w:val="fr-CA"/>
        </w:rPr>
        <w:t xml:space="preserve">désinfectante </w:t>
      </w:r>
      <w:r w:rsidR="0099340D" w:rsidRPr="00C73E83">
        <w:rPr>
          <w:rFonts w:ascii="Arial" w:hAnsi="Arial" w:cs="Arial"/>
          <w:sz w:val="20"/>
          <w:szCs w:val="20"/>
          <w:lang w:val="fr-CA"/>
        </w:rPr>
        <w:t xml:space="preserve">de chlore ou de </w:t>
      </w:r>
      <w:proofErr w:type="spellStart"/>
      <w:r w:rsidR="0099340D" w:rsidRPr="00C73E83">
        <w:rPr>
          <w:rFonts w:ascii="Arial" w:hAnsi="Arial" w:cs="Arial"/>
          <w:sz w:val="20"/>
          <w:szCs w:val="20"/>
          <w:lang w:val="fr-CA"/>
        </w:rPr>
        <w:t>chloramine</w:t>
      </w:r>
      <w:proofErr w:type="spellEnd"/>
      <w:r w:rsidRPr="00C73E83">
        <w:rPr>
          <w:rFonts w:ascii="Arial" w:hAnsi="Arial" w:cs="Arial"/>
          <w:sz w:val="20"/>
          <w:szCs w:val="20"/>
          <w:lang w:val="fr-CA"/>
        </w:rPr>
        <w:t>, à raison de</w:t>
      </w:r>
      <w:r w:rsidR="0099340D" w:rsidRPr="00C73E83">
        <w:rPr>
          <w:rFonts w:ascii="Arial" w:hAnsi="Arial" w:cs="Arial"/>
          <w:sz w:val="20"/>
          <w:szCs w:val="20"/>
          <w:lang w:val="fr-CA"/>
        </w:rPr>
        <w:t xml:space="preserve"> : </w:t>
      </w:r>
    </w:p>
    <w:p w14:paraId="7A6A5D4A" w14:textId="2025BF27" w:rsidR="0099340D" w:rsidRPr="00C73E83" w:rsidRDefault="00C73E83" w:rsidP="0099340D">
      <w:pPr>
        <w:pStyle w:val="ARCATSubPara"/>
        <w:numPr>
          <w:ilvl w:val="4"/>
          <w:numId w:val="14"/>
        </w:numPr>
        <w:spacing w:after="0"/>
        <w:rPr>
          <w:rFonts w:ascii="Arial" w:hAnsi="Arial" w:cs="Arial"/>
          <w:sz w:val="20"/>
          <w:szCs w:val="20"/>
          <w:lang w:val="fr-CA"/>
        </w:rPr>
      </w:pPr>
      <w:r w:rsidRPr="00C73E83">
        <w:rPr>
          <w:rFonts w:ascii="Arial" w:hAnsi="Arial" w:cs="Arial"/>
          <w:sz w:val="20"/>
          <w:szCs w:val="20"/>
          <w:lang w:val="fr-CA"/>
        </w:rPr>
        <w:t>200</w:t>
      </w:r>
      <w:r w:rsidR="0099340D" w:rsidRPr="00C73E83">
        <w:rPr>
          <w:rFonts w:ascii="Arial" w:hAnsi="Arial" w:cs="Arial"/>
          <w:sz w:val="20"/>
          <w:szCs w:val="20"/>
          <w:lang w:val="fr-CA"/>
        </w:rPr>
        <w:t xml:space="preserve"> parties par million (ppm) pendant </w:t>
      </w:r>
      <w:r w:rsidRPr="00C73E83">
        <w:rPr>
          <w:rFonts w:ascii="Arial" w:hAnsi="Arial" w:cs="Arial"/>
          <w:sz w:val="20"/>
          <w:szCs w:val="20"/>
          <w:lang w:val="fr-CA"/>
        </w:rPr>
        <w:t>3</w:t>
      </w:r>
      <w:r w:rsidR="0099340D" w:rsidRPr="00C73E83">
        <w:rPr>
          <w:rFonts w:ascii="Arial" w:hAnsi="Arial" w:cs="Arial"/>
          <w:sz w:val="20"/>
          <w:szCs w:val="20"/>
          <w:lang w:val="fr-CA"/>
        </w:rPr>
        <w:t xml:space="preserve"> h </w:t>
      </w:r>
      <w:r w:rsidRPr="00C73E83">
        <w:rPr>
          <w:rFonts w:ascii="Arial" w:hAnsi="Arial" w:cs="Arial"/>
          <w:sz w:val="20"/>
          <w:szCs w:val="20"/>
          <w:lang w:val="fr-CA"/>
        </w:rPr>
        <w:t>à une température maximale de 77 °F (25 °C)</w:t>
      </w:r>
    </w:p>
    <w:p w14:paraId="01D8DC78" w14:textId="5E898351" w:rsidR="0099340D" w:rsidRPr="00C73E83" w:rsidRDefault="0099340D" w:rsidP="0099340D">
      <w:pPr>
        <w:pStyle w:val="ARCATSubPara"/>
        <w:numPr>
          <w:ilvl w:val="4"/>
          <w:numId w:val="14"/>
        </w:numPr>
        <w:spacing w:after="0"/>
        <w:rPr>
          <w:rFonts w:ascii="Arial" w:hAnsi="Arial" w:cs="Arial"/>
          <w:sz w:val="20"/>
          <w:szCs w:val="20"/>
          <w:lang w:val="fr-CA"/>
        </w:rPr>
      </w:pPr>
      <w:r w:rsidRPr="00C73E83">
        <w:rPr>
          <w:rFonts w:ascii="Arial" w:hAnsi="Arial" w:cs="Arial"/>
          <w:sz w:val="20"/>
          <w:szCs w:val="20"/>
          <w:lang w:val="fr-CA"/>
        </w:rPr>
        <w:t xml:space="preserve">50 parties par million (ppm) pendant 24 h </w:t>
      </w:r>
      <w:r w:rsidR="00C73E83" w:rsidRPr="00C73E83">
        <w:rPr>
          <w:rFonts w:ascii="Arial" w:hAnsi="Arial" w:cs="Arial"/>
          <w:sz w:val="20"/>
          <w:szCs w:val="20"/>
          <w:lang w:val="fr-CA"/>
        </w:rPr>
        <w:t>à une température maximale de 77 °F (25 °C)</w:t>
      </w:r>
    </w:p>
    <w:p w14:paraId="778E8915" w14:textId="3CACDB85" w:rsidR="0099340D" w:rsidRPr="00C73E83" w:rsidRDefault="00C73E83" w:rsidP="0099340D">
      <w:pPr>
        <w:pStyle w:val="ARCATSubPara"/>
        <w:numPr>
          <w:ilvl w:val="4"/>
          <w:numId w:val="14"/>
        </w:numPr>
        <w:spacing w:after="0"/>
        <w:rPr>
          <w:rFonts w:ascii="Arial" w:hAnsi="Arial" w:cs="Arial"/>
          <w:sz w:val="20"/>
          <w:szCs w:val="20"/>
          <w:lang w:val="fr-CA"/>
        </w:rPr>
      </w:pPr>
      <w:r w:rsidRPr="00C73E83">
        <w:rPr>
          <w:rFonts w:ascii="Arial" w:hAnsi="Arial" w:cs="Arial"/>
          <w:sz w:val="20"/>
          <w:szCs w:val="20"/>
          <w:lang w:val="fr-CA"/>
        </w:rPr>
        <w:t>4</w:t>
      </w:r>
      <w:r w:rsidR="0099340D" w:rsidRPr="00C73E83">
        <w:rPr>
          <w:rFonts w:ascii="Arial" w:hAnsi="Arial" w:cs="Arial"/>
          <w:sz w:val="20"/>
          <w:szCs w:val="20"/>
          <w:lang w:val="fr-CA"/>
        </w:rPr>
        <w:t xml:space="preserve"> parties par million (ppm) pendant </w:t>
      </w:r>
      <w:r w:rsidRPr="00C73E83">
        <w:rPr>
          <w:rFonts w:ascii="Arial" w:hAnsi="Arial" w:cs="Arial"/>
          <w:sz w:val="20"/>
          <w:szCs w:val="20"/>
          <w:lang w:val="fr-CA"/>
        </w:rPr>
        <w:t>72</w:t>
      </w:r>
      <w:r w:rsidR="0099340D" w:rsidRPr="00C73E83">
        <w:rPr>
          <w:rFonts w:ascii="Arial" w:hAnsi="Arial" w:cs="Arial"/>
          <w:sz w:val="20"/>
          <w:szCs w:val="20"/>
          <w:lang w:val="fr-CA"/>
        </w:rPr>
        <w:t xml:space="preserve"> h </w:t>
      </w:r>
      <w:r w:rsidRPr="00C73E83">
        <w:rPr>
          <w:rFonts w:ascii="Arial" w:hAnsi="Arial" w:cs="Arial"/>
          <w:sz w:val="20"/>
          <w:szCs w:val="20"/>
          <w:lang w:val="fr-CA"/>
        </w:rPr>
        <w:t>à une température maximale de 140 °F (60 °C)</w:t>
      </w:r>
    </w:p>
    <w:p w14:paraId="7D053CF7" w14:textId="12F2D6A8" w:rsidR="00C73E83" w:rsidRPr="00C73E83" w:rsidRDefault="0099340D" w:rsidP="00C73E83">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 xml:space="preserve">Pour éviter de réduire la durée de vie des composants du réseau, les solutions désinfectantes ne doivent pas rester dans le réseau plus de 72 h, conformément aux </w:t>
      </w:r>
      <w:hyperlink r:id="rId18" w:history="1">
        <w:r w:rsidRPr="004D36F4">
          <w:rPr>
            <w:rStyle w:val="Hyperlink"/>
            <w:rFonts w:ascii="Arial" w:hAnsi="Arial" w:cs="Arial"/>
            <w:sz w:val="20"/>
            <w:szCs w:val="20"/>
            <w:lang w:val="fr-CA"/>
          </w:rPr>
          <w:t>directives de désinfection d'</w:t>
        </w:r>
        <w:proofErr w:type="spellStart"/>
        <w:r w:rsidRPr="004D36F4">
          <w:rPr>
            <w:rStyle w:val="Hyperlink"/>
            <w:rFonts w:ascii="Arial" w:hAnsi="Arial" w:cs="Arial"/>
            <w:sz w:val="20"/>
            <w:szCs w:val="20"/>
            <w:lang w:val="fr-CA"/>
          </w:rPr>
          <w:t>Uponor</w:t>
        </w:r>
        <w:proofErr w:type="spellEnd"/>
      </w:hyperlink>
      <w:r w:rsidRPr="00C73E83">
        <w:rPr>
          <w:rFonts w:ascii="Arial" w:hAnsi="Arial" w:cs="Arial"/>
          <w:sz w:val="20"/>
          <w:szCs w:val="20"/>
          <w:lang w:val="fr-CA"/>
        </w:rPr>
        <w:t>. Rincer le réseau à l'eau potable après la désinfection.</w:t>
      </w:r>
      <w:r w:rsidR="00C73E83" w:rsidRPr="00C73E83">
        <w:t xml:space="preserve"> </w:t>
      </w:r>
    </w:p>
    <w:p w14:paraId="301F5910" w14:textId="6C381A66" w:rsidR="00C73E83" w:rsidRPr="00C73E83" w:rsidRDefault="00C73E83" w:rsidP="00C73E83">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 xml:space="preserve">Le dioxyde de chlore n'est pas recommandé pour la désinfection du réseau. </w:t>
      </w:r>
    </w:p>
    <w:p w14:paraId="4E7B40E8" w14:textId="0EB046C2" w:rsidR="00C73E83" w:rsidRPr="00C73E83" w:rsidRDefault="00C73E83" w:rsidP="00C73E83">
      <w:pPr>
        <w:pStyle w:val="ARCATSubPara"/>
        <w:numPr>
          <w:ilvl w:val="3"/>
          <w:numId w:val="14"/>
        </w:numPr>
        <w:spacing w:after="0"/>
        <w:rPr>
          <w:rFonts w:ascii="Arial" w:hAnsi="Arial" w:cs="Arial"/>
          <w:sz w:val="20"/>
          <w:szCs w:val="20"/>
          <w:lang w:val="fr-CA"/>
        </w:rPr>
      </w:pPr>
      <w:r w:rsidRPr="00C73E83">
        <w:rPr>
          <w:rFonts w:ascii="Arial" w:hAnsi="Arial" w:cs="Arial"/>
          <w:sz w:val="20"/>
          <w:szCs w:val="20"/>
          <w:lang w:val="fr-CA"/>
        </w:rPr>
        <w:t>Si d'autres désinfectants doivent être utilisés, consulter le fabricant des tuyaux pour vérifier la compatibilité.</w:t>
      </w:r>
    </w:p>
    <w:p w14:paraId="10D0DEEA" w14:textId="77777777" w:rsidR="00C73E83" w:rsidRPr="00C73E83" w:rsidRDefault="00C73E83" w:rsidP="00C73E83">
      <w:pPr>
        <w:pStyle w:val="ARCATSubPara"/>
        <w:numPr>
          <w:ilvl w:val="0"/>
          <w:numId w:val="0"/>
        </w:numPr>
        <w:spacing w:after="0"/>
        <w:ind w:left="2160"/>
        <w:rPr>
          <w:rFonts w:ascii="Arial" w:hAnsi="Arial" w:cs="Arial"/>
          <w:sz w:val="20"/>
          <w:szCs w:val="20"/>
          <w:lang w:val="fr-CA"/>
        </w:rPr>
      </w:pPr>
    </w:p>
    <w:p w14:paraId="46635CA6" w14:textId="7A607DF3" w:rsidR="00876525" w:rsidRPr="00C73E83" w:rsidRDefault="00876525" w:rsidP="001D66A1">
      <w:pPr>
        <w:numPr>
          <w:ilvl w:val="1"/>
          <w:numId w:val="4"/>
        </w:numPr>
        <w:rPr>
          <w:rFonts w:ascii="Arial" w:hAnsi="Arial" w:cs="Arial"/>
          <w:b/>
          <w:lang w:val="fr-CA"/>
        </w:rPr>
      </w:pPr>
      <w:r w:rsidRPr="00C73E83">
        <w:rPr>
          <w:rFonts w:ascii="Arial" w:hAnsi="Arial" w:cs="Arial"/>
          <w:b/>
          <w:lang w:val="fr-CA"/>
        </w:rPr>
        <w:t>PROTECTION</w:t>
      </w:r>
    </w:p>
    <w:p w14:paraId="742651FB" w14:textId="77777777" w:rsidR="0099340D" w:rsidRPr="00C73E83" w:rsidRDefault="0099340D" w:rsidP="0028336D">
      <w:pPr>
        <w:numPr>
          <w:ilvl w:val="2"/>
          <w:numId w:val="15"/>
        </w:numPr>
        <w:spacing w:after="240"/>
        <w:rPr>
          <w:rFonts w:ascii="Arial" w:hAnsi="Arial" w:cs="Arial"/>
          <w:bCs/>
          <w:lang w:val="fr-CA"/>
        </w:rPr>
      </w:pPr>
      <w:r w:rsidRPr="00C73E83">
        <w:rPr>
          <w:rFonts w:ascii="Arial" w:hAnsi="Arial" w:cs="Arial"/>
          <w:lang w:val="fr-CA"/>
        </w:rPr>
        <w:t>Protection : Protéger les surfaces des produits et des finitions contre les dommages durant la construction.</w:t>
      </w:r>
    </w:p>
    <w:p w14:paraId="57462919" w14:textId="19C439D0" w:rsidR="00876525" w:rsidRPr="00263F49" w:rsidRDefault="00263F49">
      <w:pPr>
        <w:pStyle w:val="Heading3"/>
        <w:rPr>
          <w:rFonts w:ascii="Arial" w:hAnsi="Arial" w:cs="Arial"/>
          <w:sz w:val="20"/>
          <w:lang w:val="fr-CA"/>
        </w:rPr>
      </w:pPr>
      <w:r w:rsidRPr="00C73E83">
        <w:rPr>
          <w:rFonts w:ascii="Arial" w:hAnsi="Arial" w:cs="Arial"/>
          <w:sz w:val="20"/>
          <w:lang w:val="fr-CA"/>
        </w:rPr>
        <w:t>FIN DE LA SECTION</w:t>
      </w:r>
    </w:p>
    <w:sectPr w:rsidR="00876525" w:rsidRPr="00263F49" w:rsidSect="00294885">
      <w:headerReference w:type="even" r:id="rId19"/>
      <w:headerReference w:type="default" r:id="rId20"/>
      <w:footerReference w:type="default" r:id="rId21"/>
      <w:head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87DB" w14:textId="77777777" w:rsidR="008F5679" w:rsidRDefault="008F5679">
      <w:r>
        <w:separator/>
      </w:r>
    </w:p>
  </w:endnote>
  <w:endnote w:type="continuationSeparator" w:id="0">
    <w:p w14:paraId="5E16FB92" w14:textId="77777777" w:rsidR="008F5679" w:rsidRDefault="008F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C3D1" w14:textId="77777777" w:rsidR="00784CAD" w:rsidRPr="00263F49" w:rsidRDefault="00784CAD">
    <w:pPr>
      <w:pStyle w:val="Footer"/>
      <w:rPr>
        <w:rFonts w:ascii="Verdana" w:hAnsi="Verdana"/>
        <w:lang w:val="fr-CA"/>
      </w:rPr>
    </w:pPr>
  </w:p>
  <w:p w14:paraId="40A4E132" w14:textId="0FA69BB8" w:rsidR="00FA0339" w:rsidRPr="00263F49" w:rsidRDefault="00051085" w:rsidP="003A38D0">
    <w:pPr>
      <w:pStyle w:val="Footer"/>
      <w:jc w:val="center"/>
      <w:rPr>
        <w:rFonts w:ascii="Arial" w:hAnsi="Arial" w:cs="Arial"/>
        <w:lang w:val="fr-CA"/>
      </w:rPr>
    </w:pPr>
    <w:r w:rsidRPr="00263F49">
      <w:rPr>
        <w:rFonts w:ascii="Arial" w:hAnsi="Arial" w:cs="Arial"/>
        <w:lang w:val="fr-CA"/>
      </w:rPr>
      <w:t>GF Building Flow Solutions</w:t>
    </w:r>
    <w:r w:rsidR="003A38D0" w:rsidRPr="00263F49">
      <w:rPr>
        <w:rFonts w:ascii="Arial" w:hAnsi="Arial" w:cs="Arial"/>
        <w:lang w:val="fr-CA"/>
      </w:rPr>
      <w:t xml:space="preserve"> </w:t>
    </w:r>
    <w:r w:rsidR="00263F49" w:rsidRPr="00263F49">
      <w:rPr>
        <w:rFonts w:ascii="Arial" w:hAnsi="Arial" w:cs="Arial"/>
        <w:lang w:val="fr-CA"/>
      </w:rPr>
      <w:t xml:space="preserve">– Spécifications pour tuyauterie d’eau </w:t>
    </w:r>
    <w:r w:rsidR="00263F49">
      <w:rPr>
        <w:rFonts w:ascii="Arial" w:hAnsi="Arial" w:cs="Arial"/>
        <w:lang w:val="fr-CA"/>
      </w:rPr>
      <w:t>potable</w:t>
    </w:r>
    <w:r w:rsidR="00263F49" w:rsidRPr="00263F49">
      <w:rPr>
        <w:rFonts w:ascii="Arial" w:hAnsi="Arial" w:cs="Arial"/>
        <w:lang w:val="fr-CA"/>
      </w:rPr>
      <w:t xml:space="preserve"> </w:t>
    </w:r>
    <w:r w:rsidR="00FA0339" w:rsidRPr="00263F49">
      <w:rPr>
        <w:rFonts w:ascii="Arial" w:hAnsi="Arial" w:cs="Arial"/>
        <w:lang w:val="fr-CA"/>
      </w:rPr>
      <w:t>(</w:t>
    </w:r>
    <w:r w:rsidR="00263F49" w:rsidRPr="00263F49">
      <w:rPr>
        <w:rFonts w:ascii="Arial" w:hAnsi="Arial" w:cs="Arial"/>
        <w:lang w:val="fr-CA"/>
      </w:rPr>
      <w:t>version complète</w:t>
    </w:r>
    <w:r w:rsidR="00FA0339" w:rsidRPr="00263F49">
      <w:rPr>
        <w:rFonts w:ascii="Arial" w:hAnsi="Arial" w:cs="Arial"/>
        <w:lang w:val="fr-CA"/>
      </w:rPr>
      <w:t>)</w:t>
    </w:r>
    <w:r w:rsidR="00263F49" w:rsidRPr="00263F49">
      <w:rPr>
        <w:rFonts w:ascii="Arial" w:hAnsi="Arial" w:cs="Arial"/>
        <w:lang w:val="fr-CA"/>
      </w:rPr>
      <w:t xml:space="preserve"> -</w:t>
    </w:r>
  </w:p>
  <w:p w14:paraId="106024D1" w14:textId="594BB8C0" w:rsidR="003A38D0" w:rsidRPr="00263F49" w:rsidRDefault="005356B9" w:rsidP="003A38D0">
    <w:pPr>
      <w:pStyle w:val="Footer"/>
      <w:jc w:val="center"/>
      <w:rPr>
        <w:rFonts w:ascii="Arial" w:hAnsi="Arial" w:cs="Arial"/>
        <w:lang w:val="fr-CA"/>
      </w:rPr>
    </w:pPr>
    <w:r>
      <w:rPr>
        <w:rFonts w:ascii="Arial" w:hAnsi="Arial" w:cs="Arial"/>
        <w:lang w:val="fr-CA"/>
      </w:rPr>
      <w:t>1</w:t>
    </w:r>
    <w:r w:rsidR="00AD7CA0">
      <w:rPr>
        <w:rFonts w:ascii="Arial" w:hAnsi="Arial" w:cs="Arial"/>
        <w:lang w:val="fr-CA"/>
      </w:rPr>
      <w:t>9</w:t>
    </w:r>
    <w:r w:rsidR="00263F49" w:rsidRPr="00263F49">
      <w:rPr>
        <w:rFonts w:ascii="Arial" w:hAnsi="Arial" w:cs="Arial"/>
        <w:lang w:val="fr-CA"/>
      </w:rPr>
      <w:t xml:space="preserve"> </w:t>
    </w:r>
    <w:proofErr w:type="gramStart"/>
    <w:r w:rsidR="00C62E01">
      <w:rPr>
        <w:rFonts w:ascii="Arial" w:hAnsi="Arial" w:cs="Arial"/>
        <w:lang w:val="fr-CA"/>
      </w:rPr>
      <w:t>Janvier</w:t>
    </w:r>
    <w:proofErr w:type="gramEnd"/>
    <w:r w:rsidR="009F30AF" w:rsidRPr="00263F49">
      <w:rPr>
        <w:rFonts w:ascii="Arial" w:hAnsi="Arial" w:cs="Arial"/>
        <w:lang w:val="fr-CA"/>
      </w:rPr>
      <w:t xml:space="preserve"> 202</w:t>
    </w:r>
    <w:r w:rsidR="00C62E01">
      <w:rPr>
        <w:rFonts w:ascii="Arial" w:hAnsi="Arial" w:cs="Arial"/>
        <w:lang w:val="fr-CA"/>
      </w:rPr>
      <w:t>6</w:t>
    </w:r>
  </w:p>
  <w:p w14:paraId="53711DBF" w14:textId="77777777" w:rsidR="003A38D0" w:rsidRPr="00263F49" w:rsidRDefault="003A38D0" w:rsidP="003A38D0">
    <w:pPr>
      <w:pStyle w:val="Footer"/>
      <w:jc w:val="center"/>
      <w:rPr>
        <w:rFonts w:ascii="Arial" w:hAnsi="Arial" w:cs="Arial"/>
        <w:lang w:val="fr-CA"/>
      </w:rPr>
    </w:pPr>
    <w:r w:rsidRPr="00263F49">
      <w:rPr>
        <w:rFonts w:ascii="Arial" w:hAnsi="Arial" w:cs="Arial"/>
        <w:lang w:val="fr-CA"/>
      </w:rPr>
      <w:t xml:space="preserve">22 11 16 - </w:t>
    </w:r>
    <w:r w:rsidRPr="00263F49">
      <w:rPr>
        <w:rFonts w:ascii="Arial" w:hAnsi="Arial" w:cs="Arial"/>
        <w:lang w:val="fr-CA"/>
      </w:rPr>
      <w:fldChar w:fldCharType="begin"/>
    </w:r>
    <w:r w:rsidRPr="00263F49">
      <w:rPr>
        <w:rFonts w:ascii="Arial" w:hAnsi="Arial" w:cs="Arial"/>
        <w:lang w:val="fr-CA"/>
      </w:rPr>
      <w:instrText xml:space="preserve"> PAGE   \* MERGEFORMAT </w:instrText>
    </w:r>
    <w:r w:rsidRPr="00263F49">
      <w:rPr>
        <w:rFonts w:ascii="Arial" w:hAnsi="Arial" w:cs="Arial"/>
        <w:lang w:val="fr-CA"/>
      </w:rPr>
      <w:fldChar w:fldCharType="separate"/>
    </w:r>
    <w:r w:rsidR="00E328A1" w:rsidRPr="00263F49">
      <w:rPr>
        <w:rFonts w:ascii="Arial" w:hAnsi="Arial" w:cs="Arial"/>
        <w:noProof/>
        <w:lang w:val="fr-CA"/>
      </w:rPr>
      <w:t>1</w:t>
    </w:r>
    <w:r w:rsidRPr="00263F49">
      <w:rPr>
        <w:rFonts w:ascii="Arial" w:hAnsi="Arial" w:cs="Arial"/>
        <w:noProof/>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2701" w14:textId="77777777" w:rsidR="008F5679" w:rsidRDefault="008F5679">
      <w:r>
        <w:separator/>
      </w:r>
    </w:p>
  </w:footnote>
  <w:footnote w:type="continuationSeparator" w:id="0">
    <w:p w14:paraId="03CB8311" w14:textId="77777777" w:rsidR="008F5679" w:rsidRDefault="008F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F36" w14:textId="6701CF42" w:rsidR="007F2E10" w:rsidRDefault="007F2E10">
    <w:pPr>
      <w:pStyle w:val="Header"/>
    </w:pPr>
    <w:r>
      <w:rPr>
        <w:noProof/>
      </w:rPr>
      <mc:AlternateContent>
        <mc:Choice Requires="wps">
          <w:drawing>
            <wp:anchor distT="0" distB="0" distL="0" distR="0" simplePos="0" relativeHeight="251658241" behindDoc="0" locked="0" layoutInCell="1" allowOverlap="1" wp14:anchorId="4B78F47D" wp14:editId="17DFD6B6">
              <wp:simplePos x="635" y="635"/>
              <wp:positionH relativeFrom="page">
                <wp:align>center</wp:align>
              </wp:positionH>
              <wp:positionV relativeFrom="page">
                <wp:align>top</wp:align>
              </wp:positionV>
              <wp:extent cx="502920" cy="307340"/>
              <wp:effectExtent l="0" t="0" r="11430" b="16510"/>
              <wp:wrapNone/>
              <wp:docPr id="1109694113"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8F47D"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20AA" w14:textId="42D146E8" w:rsidR="00322A6D" w:rsidRPr="00263F49" w:rsidRDefault="00263F49" w:rsidP="00AE6AAF">
    <w:pPr>
      <w:pStyle w:val="Header"/>
      <w:jc w:val="right"/>
      <w:rPr>
        <w:rFonts w:ascii="Arial" w:hAnsi="Arial" w:cs="Arial"/>
        <w:lang w:val="fr-CA"/>
      </w:rPr>
    </w:pPr>
    <w:r w:rsidRPr="00263F49">
      <w:rPr>
        <w:rFonts w:ascii="Arial" w:hAnsi="Arial" w:cs="Arial"/>
        <w:lang w:val="fr-CA"/>
      </w:rPr>
      <w:t xml:space="preserve">Tuyauterie d’eau </w:t>
    </w:r>
    <w:r>
      <w:rPr>
        <w:rFonts w:ascii="Arial" w:hAnsi="Arial" w:cs="Arial"/>
        <w:lang w:val="fr-CA"/>
      </w:rPr>
      <w:t>potable</w:t>
    </w:r>
    <w:r w:rsidR="00322A6D" w:rsidRPr="00263F49">
      <w:rPr>
        <w:rFonts w:ascii="Arial" w:hAnsi="Arial" w:cs="Arial"/>
        <w:lang w:val="fr-CA"/>
      </w:rPr>
      <w:t xml:space="preserve"> 22 11 16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081B" w14:textId="12F5733B" w:rsidR="007F2E10" w:rsidRDefault="007F2E10">
    <w:pPr>
      <w:pStyle w:val="Header"/>
    </w:pPr>
    <w:r>
      <w:rPr>
        <w:noProof/>
      </w:rPr>
      <mc:AlternateContent>
        <mc:Choice Requires="wps">
          <w:drawing>
            <wp:anchor distT="0" distB="0" distL="0" distR="0" simplePos="0" relativeHeight="251658242" behindDoc="0" locked="0" layoutInCell="1" allowOverlap="1" wp14:anchorId="6D525880" wp14:editId="32DF728A">
              <wp:simplePos x="635" y="635"/>
              <wp:positionH relativeFrom="page">
                <wp:align>center</wp:align>
              </wp:positionH>
              <wp:positionV relativeFrom="page">
                <wp:align>top</wp:align>
              </wp:positionV>
              <wp:extent cx="502920" cy="307340"/>
              <wp:effectExtent l="0" t="0" r="11430" b="16510"/>
              <wp:wrapNone/>
              <wp:docPr id="2032895470"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25880"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01C"/>
    <w:multiLevelType w:val="multilevel"/>
    <w:tmpl w:val="4078A9C4"/>
    <w:styleLink w:val="Ricksrule"/>
    <w:lvl w:ilvl="0">
      <w:start w:val="1"/>
      <w:numFmt w:val="decimal"/>
      <w:lvlText w:val="%1.0"/>
      <w:lvlJc w:val="left"/>
      <w:pPr>
        <w:ind w:left="3240" w:hanging="360"/>
      </w:pPr>
      <w:rPr>
        <w:rFonts w:hint="default"/>
      </w:rPr>
    </w:lvl>
    <w:lvl w:ilvl="1">
      <w:start w:val="1"/>
      <w:numFmt w:val="none"/>
      <w:lvlText w:val=".1"/>
      <w:lvlJc w:val="left"/>
      <w:pPr>
        <w:ind w:left="3600" w:hanging="360"/>
      </w:pPr>
      <w:rPr>
        <w:rFonts w:ascii="Times New Roman" w:hAnsi="Times New Roman" w:hint="default"/>
      </w:rPr>
    </w:lvl>
    <w:lvl w:ilvl="2">
      <w:start w:val="1"/>
      <w:numFmt w:val="none"/>
      <w:lvlText w:val=".1"/>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060812A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 w15:restartNumberingAfterBreak="0">
    <w:nsid w:val="0AE770C3"/>
    <w:multiLevelType w:val="multilevel"/>
    <w:tmpl w:val="F006B8A2"/>
    <w:lvl w:ilvl="0">
      <w:start w:val="1"/>
      <w:numFmt w:val="decimal"/>
      <w:lvlText w:val="%1.0"/>
      <w:lvlJc w:val="left"/>
      <w:pPr>
        <w:ind w:left="720" w:hanging="720"/>
      </w:pPr>
      <w:rPr>
        <w:rFonts w:hint="default"/>
        <w:b/>
      </w:rPr>
    </w:lvl>
    <w:lvl w:ilvl="1">
      <w:start w:val="1"/>
      <w:numFmt w:val="decimal"/>
      <w:lvlText w:val="%2."/>
      <w:lvlJc w:val="left"/>
      <w:pPr>
        <w:ind w:left="1080" w:hanging="360"/>
      </w:p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2FE3B0F"/>
    <w:multiLevelType w:val="hybridMultilevel"/>
    <w:tmpl w:val="1C7AC66E"/>
    <w:lvl w:ilvl="0" w:tplc="12828912">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4" w15:restartNumberingAfterBreak="0">
    <w:nsid w:val="1FAF28DF"/>
    <w:multiLevelType w:val="multilevel"/>
    <w:tmpl w:val="EF008A00"/>
    <w:lvl w:ilvl="0">
      <w:start w:val="1"/>
      <w:numFmt w:val="decimal"/>
      <w:lvlText w:val="%1.0"/>
      <w:lvlJc w:val="left"/>
      <w:pPr>
        <w:ind w:left="720" w:hanging="720"/>
      </w:pPr>
      <w:rPr>
        <w:rFonts w:hint="default"/>
        <w:b/>
      </w:rPr>
    </w:lvl>
    <w:lvl w:ilvl="1">
      <w:start w:val="1"/>
      <w:numFmt w:val="decimal"/>
      <w:lvlText w:val="%2."/>
      <w:lvlJc w:val="left"/>
      <w:pPr>
        <w:ind w:left="1080" w:hanging="360"/>
      </w:pPr>
      <w:rPr>
        <w:rFonts w:hint="default"/>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269E4282"/>
    <w:multiLevelType w:val="multilevel"/>
    <w:tmpl w:val="6D9A4C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6E97A3D"/>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894686D"/>
    <w:multiLevelType w:val="multilevel"/>
    <w:tmpl w:val="C3144F76"/>
    <w:lvl w:ilvl="0">
      <w:start w:val="1"/>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0" w15:restartNumberingAfterBreak="0">
    <w:nsid w:val="2D890DB6"/>
    <w:multiLevelType w:val="multilevel"/>
    <w:tmpl w:val="9F1EB2EA"/>
    <w:lvl w:ilvl="0">
      <w:start w:val="2"/>
      <w:numFmt w:val="decimal"/>
      <w:lvlText w:val="%1"/>
      <w:lvlJc w:val="left"/>
      <w:pPr>
        <w:ind w:left="420" w:hanging="420"/>
      </w:pPr>
      <w:rPr>
        <w:rFonts w:hint="default"/>
      </w:rPr>
    </w:lvl>
    <w:lvl w:ilvl="1">
      <w:start w:val="1"/>
      <w:numFmt w:val="decimal"/>
      <w:lvlText w:val="3.%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3017706"/>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5292369"/>
    <w:multiLevelType w:val="multilevel"/>
    <w:tmpl w:val="EF008A00"/>
    <w:lvl w:ilvl="0">
      <w:start w:val="1"/>
      <w:numFmt w:val="decimal"/>
      <w:lvlText w:val="%1.0"/>
      <w:lvlJc w:val="left"/>
      <w:pPr>
        <w:ind w:left="720" w:hanging="720"/>
      </w:pPr>
      <w:rPr>
        <w:rFonts w:hint="default"/>
        <w:b/>
      </w:rPr>
    </w:lvl>
    <w:lvl w:ilvl="1">
      <w:start w:val="1"/>
      <w:numFmt w:val="decimal"/>
      <w:lvlText w:val="%2."/>
      <w:lvlJc w:val="left"/>
      <w:pPr>
        <w:ind w:left="1080" w:hanging="360"/>
      </w:pPr>
      <w:rPr>
        <w:rFonts w:hint="default"/>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6535AD9"/>
    <w:multiLevelType w:val="multilevel"/>
    <w:tmpl w:val="9ADC7B04"/>
    <w:lvl w:ilvl="0">
      <w:start w:val="1"/>
      <w:numFmt w:val="decimal"/>
      <w:lvlText w:val="%1.0"/>
      <w:lvlJc w:val="left"/>
      <w:pPr>
        <w:ind w:left="720" w:hanging="720"/>
      </w:pPr>
      <w:rPr>
        <w:rFonts w:hint="default"/>
        <w:b/>
      </w:rPr>
    </w:lvl>
    <w:lvl w:ilvl="1">
      <w:start w:val="3"/>
      <w:numFmt w:val="decimal"/>
      <w:lvlText w:val="%1.%2"/>
      <w:lvlJc w:val="left"/>
      <w:pPr>
        <w:ind w:left="1440" w:hanging="720"/>
      </w:pPr>
      <w:rPr>
        <w:rFonts w:hint="default"/>
        <w:b/>
      </w:rPr>
    </w:lvl>
    <w:lvl w:ilvl="2">
      <w:start w:val="8"/>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366E542D"/>
    <w:multiLevelType w:val="multilevel"/>
    <w:tmpl w:val="FFB66D98"/>
    <w:lvl w:ilvl="0">
      <w:start w:val="3"/>
      <w:numFmt w:val="decimal"/>
      <w:lvlText w:val="%1.0"/>
      <w:lvlJc w:val="left"/>
      <w:pPr>
        <w:ind w:left="720" w:hanging="720"/>
      </w:pPr>
      <w:rPr>
        <w:rFonts w:hint="default"/>
        <w:b/>
      </w:rPr>
    </w:lvl>
    <w:lvl w:ilvl="1">
      <w:start w:val="1"/>
      <w:numFmt w:val="decimal"/>
      <w:lvlText w:val="%2."/>
      <w:lvlJc w:val="left"/>
      <w:pPr>
        <w:ind w:left="1080" w:hanging="360"/>
      </w:pPr>
      <w:rPr>
        <w:rFonts w:hint="default"/>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3FFD11AF"/>
    <w:multiLevelType w:val="multilevel"/>
    <w:tmpl w:val="F006B8A2"/>
    <w:lvl w:ilvl="0">
      <w:start w:val="1"/>
      <w:numFmt w:val="decimal"/>
      <w:lvlText w:val="%1.0"/>
      <w:lvlJc w:val="left"/>
      <w:pPr>
        <w:ind w:left="720" w:hanging="720"/>
      </w:pPr>
      <w:rPr>
        <w:rFonts w:hint="default"/>
        <w:b/>
      </w:rPr>
    </w:lvl>
    <w:lvl w:ilvl="1">
      <w:start w:val="1"/>
      <w:numFmt w:val="decimal"/>
      <w:lvlText w:val="%2."/>
      <w:lvlJc w:val="left"/>
      <w:pPr>
        <w:ind w:left="1080" w:hanging="360"/>
      </w:p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4169213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2283B04"/>
    <w:multiLevelType w:val="multilevel"/>
    <w:tmpl w:val="8882804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3C6414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5F05538"/>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1" w15:restartNumberingAfterBreak="0">
    <w:nsid w:val="45F74CCD"/>
    <w:multiLevelType w:val="multilevel"/>
    <w:tmpl w:val="E496F564"/>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2" w15:restartNumberingAfterBreak="0">
    <w:nsid w:val="48680EC6"/>
    <w:multiLevelType w:val="multilevel"/>
    <w:tmpl w:val="EF008A00"/>
    <w:lvl w:ilvl="0">
      <w:start w:val="1"/>
      <w:numFmt w:val="decimal"/>
      <w:lvlText w:val="%1.0"/>
      <w:lvlJc w:val="left"/>
      <w:pPr>
        <w:ind w:left="720" w:hanging="720"/>
      </w:pPr>
      <w:rPr>
        <w:rFonts w:hint="default"/>
        <w:b/>
      </w:rPr>
    </w:lvl>
    <w:lvl w:ilvl="1">
      <w:start w:val="1"/>
      <w:numFmt w:val="decimal"/>
      <w:lvlText w:val="%2."/>
      <w:lvlJc w:val="left"/>
      <w:pPr>
        <w:ind w:left="1080" w:hanging="360"/>
      </w:pPr>
      <w:rPr>
        <w:rFonts w:hint="default"/>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4B71644F"/>
    <w:multiLevelType w:val="multilevel"/>
    <w:tmpl w:val="5B7279BA"/>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2"/>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4" w15:restartNumberingAfterBreak="0">
    <w:nsid w:val="50337B9F"/>
    <w:multiLevelType w:val="multilevel"/>
    <w:tmpl w:val="318637DC"/>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3"/>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5"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26" w15:restartNumberingAfterBreak="0">
    <w:nsid w:val="5C3238F4"/>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2F50CFE"/>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8" w15:restartNumberingAfterBreak="0">
    <w:nsid w:val="6EB026EF"/>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1163710"/>
    <w:multiLevelType w:val="multilevel"/>
    <w:tmpl w:val="F006B8A2"/>
    <w:lvl w:ilvl="0">
      <w:start w:val="1"/>
      <w:numFmt w:val="decimal"/>
      <w:lvlText w:val="%1.0"/>
      <w:lvlJc w:val="left"/>
      <w:pPr>
        <w:ind w:left="720" w:hanging="720"/>
      </w:pPr>
      <w:rPr>
        <w:rFonts w:hint="default"/>
        <w:b/>
      </w:rPr>
    </w:lvl>
    <w:lvl w:ilvl="1">
      <w:start w:val="1"/>
      <w:numFmt w:val="decimal"/>
      <w:lvlText w:val="%2."/>
      <w:lvlJc w:val="left"/>
      <w:pPr>
        <w:ind w:left="1080" w:hanging="360"/>
      </w:p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72655250"/>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7AE74F2F"/>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2" w15:restartNumberingAfterBreak="0">
    <w:nsid w:val="7DE63645"/>
    <w:multiLevelType w:val="multilevel"/>
    <w:tmpl w:val="C3144F76"/>
    <w:lvl w:ilvl="0">
      <w:start w:val="1"/>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3"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4" w15:restartNumberingAfterBreak="0">
    <w:nsid w:val="7F3158A3"/>
    <w:multiLevelType w:val="multilevel"/>
    <w:tmpl w:val="DA20A95A"/>
    <w:lvl w:ilvl="0">
      <w:start w:val="1"/>
      <w:numFmt w:val="decimal"/>
      <w:lvlText w:val="%1.0"/>
      <w:lvlJc w:val="left"/>
      <w:pPr>
        <w:ind w:left="720" w:hanging="720"/>
      </w:pPr>
      <w:rPr>
        <w:rFonts w:hint="default"/>
        <w:b/>
      </w:rPr>
    </w:lvl>
    <w:lvl w:ilvl="1">
      <w:start w:val="4"/>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
      <w:lvlJc w:val="left"/>
      <w:pPr>
        <w:ind w:left="3240" w:hanging="360"/>
      </w:p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F744BE7"/>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288774022">
    <w:abstractNumId w:val="0"/>
  </w:num>
  <w:num w:numId="2" w16cid:durableId="1504541698">
    <w:abstractNumId w:val="15"/>
  </w:num>
  <w:num w:numId="3" w16cid:durableId="703017018">
    <w:abstractNumId w:val="18"/>
  </w:num>
  <w:num w:numId="4" w16cid:durableId="1427339502">
    <w:abstractNumId w:val="6"/>
  </w:num>
  <w:num w:numId="5" w16cid:durableId="522520063">
    <w:abstractNumId w:val="17"/>
  </w:num>
  <w:num w:numId="6" w16cid:durableId="763914767">
    <w:abstractNumId w:val="11"/>
  </w:num>
  <w:num w:numId="7" w16cid:durableId="14430904">
    <w:abstractNumId w:val="30"/>
  </w:num>
  <w:num w:numId="8" w16cid:durableId="2115008027">
    <w:abstractNumId w:val="19"/>
  </w:num>
  <w:num w:numId="9" w16cid:durableId="697462273">
    <w:abstractNumId w:val="10"/>
  </w:num>
  <w:num w:numId="10" w16cid:durableId="1816491227">
    <w:abstractNumId w:val="35"/>
  </w:num>
  <w:num w:numId="11" w16cid:durableId="1155562432">
    <w:abstractNumId w:val="7"/>
  </w:num>
  <w:num w:numId="12" w16cid:durableId="1273127241">
    <w:abstractNumId w:val="33"/>
  </w:num>
  <w:num w:numId="13" w16cid:durableId="2088725116">
    <w:abstractNumId w:val="28"/>
  </w:num>
  <w:num w:numId="14" w16cid:durableId="1428845679">
    <w:abstractNumId w:val="5"/>
  </w:num>
  <w:num w:numId="15" w16cid:durableId="498235900">
    <w:abstractNumId w:val="26"/>
  </w:num>
  <w:num w:numId="16" w16cid:durableId="2064980128">
    <w:abstractNumId w:val="25"/>
  </w:num>
  <w:num w:numId="17" w16cid:durableId="6518878">
    <w:abstractNumId w:val="9"/>
  </w:num>
  <w:num w:numId="18" w16cid:durableId="696004619">
    <w:abstractNumId w:val="21"/>
  </w:num>
  <w:num w:numId="19" w16cid:durableId="1309282978">
    <w:abstractNumId w:val="3"/>
  </w:num>
  <w:num w:numId="20" w16cid:durableId="662203890">
    <w:abstractNumId w:val="13"/>
  </w:num>
  <w:num w:numId="21" w16cid:durableId="1975401797">
    <w:abstractNumId w:val="16"/>
  </w:num>
  <w:num w:numId="22" w16cid:durableId="1028602622">
    <w:abstractNumId w:val="24"/>
  </w:num>
  <w:num w:numId="23" w16cid:durableId="869218456">
    <w:abstractNumId w:val="34"/>
  </w:num>
  <w:num w:numId="24" w16cid:durableId="730882589">
    <w:abstractNumId w:val="27"/>
  </w:num>
  <w:num w:numId="25" w16cid:durableId="923878582">
    <w:abstractNumId w:val="23"/>
  </w:num>
  <w:num w:numId="26" w16cid:durableId="1050693781">
    <w:abstractNumId w:val="2"/>
  </w:num>
  <w:num w:numId="27" w16cid:durableId="1592659596">
    <w:abstractNumId w:val="14"/>
  </w:num>
  <w:num w:numId="28" w16cid:durableId="1756975085">
    <w:abstractNumId w:val="32"/>
  </w:num>
  <w:num w:numId="29" w16cid:durableId="2100825666">
    <w:abstractNumId w:val="8"/>
  </w:num>
  <w:num w:numId="30" w16cid:durableId="371733190">
    <w:abstractNumId w:val="20"/>
  </w:num>
  <w:num w:numId="31" w16cid:durableId="1115323379">
    <w:abstractNumId w:val="1"/>
  </w:num>
  <w:num w:numId="32" w16cid:durableId="1910728874">
    <w:abstractNumId w:val="31"/>
  </w:num>
  <w:num w:numId="33" w16cid:durableId="396903203">
    <w:abstractNumId w:val="29"/>
  </w:num>
  <w:num w:numId="34" w16cid:durableId="1789395656">
    <w:abstractNumId w:val="22"/>
  </w:num>
  <w:num w:numId="35" w16cid:durableId="980883193">
    <w:abstractNumId w:val="12"/>
  </w:num>
  <w:num w:numId="36" w16cid:durableId="10568598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15"/>
    <w:rsid w:val="00000F9E"/>
    <w:rsid w:val="00002040"/>
    <w:rsid w:val="00013144"/>
    <w:rsid w:val="00014BAA"/>
    <w:rsid w:val="00016513"/>
    <w:rsid w:val="0002270F"/>
    <w:rsid w:val="000228B8"/>
    <w:rsid w:val="00024EC5"/>
    <w:rsid w:val="00032840"/>
    <w:rsid w:val="00034F92"/>
    <w:rsid w:val="00046205"/>
    <w:rsid w:val="00051085"/>
    <w:rsid w:val="00070379"/>
    <w:rsid w:val="00077360"/>
    <w:rsid w:val="00082C2B"/>
    <w:rsid w:val="00083BBF"/>
    <w:rsid w:val="00084210"/>
    <w:rsid w:val="00085367"/>
    <w:rsid w:val="00092B20"/>
    <w:rsid w:val="000966BC"/>
    <w:rsid w:val="00097290"/>
    <w:rsid w:val="000976BF"/>
    <w:rsid w:val="0009777C"/>
    <w:rsid w:val="000A63F9"/>
    <w:rsid w:val="000B4051"/>
    <w:rsid w:val="000C0DEF"/>
    <w:rsid w:val="000C0E73"/>
    <w:rsid w:val="000D12E6"/>
    <w:rsid w:val="000D617F"/>
    <w:rsid w:val="000E2E41"/>
    <w:rsid w:val="000E5DFE"/>
    <w:rsid w:val="000E7E41"/>
    <w:rsid w:val="000F449E"/>
    <w:rsid w:val="000F4675"/>
    <w:rsid w:val="001008FA"/>
    <w:rsid w:val="001039C4"/>
    <w:rsid w:val="00106030"/>
    <w:rsid w:val="001061F2"/>
    <w:rsid w:val="0011768B"/>
    <w:rsid w:val="00120F05"/>
    <w:rsid w:val="00120F64"/>
    <w:rsid w:val="001239C0"/>
    <w:rsid w:val="001477D2"/>
    <w:rsid w:val="00151757"/>
    <w:rsid w:val="00161894"/>
    <w:rsid w:val="001654D3"/>
    <w:rsid w:val="00166B98"/>
    <w:rsid w:val="0017580C"/>
    <w:rsid w:val="00182634"/>
    <w:rsid w:val="00186ADE"/>
    <w:rsid w:val="00191399"/>
    <w:rsid w:val="001A3954"/>
    <w:rsid w:val="001A654D"/>
    <w:rsid w:val="001B2354"/>
    <w:rsid w:val="001B23CA"/>
    <w:rsid w:val="001B5E85"/>
    <w:rsid w:val="001C0372"/>
    <w:rsid w:val="001C0AC6"/>
    <w:rsid w:val="001C1AD4"/>
    <w:rsid w:val="001C37FA"/>
    <w:rsid w:val="001C55F2"/>
    <w:rsid w:val="001C767B"/>
    <w:rsid w:val="001D338F"/>
    <w:rsid w:val="001D496D"/>
    <w:rsid w:val="001D66A1"/>
    <w:rsid w:val="001D68C8"/>
    <w:rsid w:val="001E61CC"/>
    <w:rsid w:val="001E69F8"/>
    <w:rsid w:val="001F1519"/>
    <w:rsid w:val="001F614D"/>
    <w:rsid w:val="00202093"/>
    <w:rsid w:val="00203653"/>
    <w:rsid w:val="00205694"/>
    <w:rsid w:val="002102AF"/>
    <w:rsid w:val="002135F4"/>
    <w:rsid w:val="002202AB"/>
    <w:rsid w:val="002350A5"/>
    <w:rsid w:val="0023652A"/>
    <w:rsid w:val="0023692F"/>
    <w:rsid w:val="002511A9"/>
    <w:rsid w:val="00263F49"/>
    <w:rsid w:val="00263F70"/>
    <w:rsid w:val="002729A7"/>
    <w:rsid w:val="00274B34"/>
    <w:rsid w:val="002750F4"/>
    <w:rsid w:val="0028336D"/>
    <w:rsid w:val="00294885"/>
    <w:rsid w:val="002973FB"/>
    <w:rsid w:val="002A2190"/>
    <w:rsid w:val="002A25F4"/>
    <w:rsid w:val="002A7F7F"/>
    <w:rsid w:val="002B3DE6"/>
    <w:rsid w:val="002C0F30"/>
    <w:rsid w:val="002C7DCC"/>
    <w:rsid w:val="002D3E56"/>
    <w:rsid w:val="002D5012"/>
    <w:rsid w:val="002D5137"/>
    <w:rsid w:val="002E37EC"/>
    <w:rsid w:val="002E517F"/>
    <w:rsid w:val="002F6E1B"/>
    <w:rsid w:val="00307E85"/>
    <w:rsid w:val="00312F28"/>
    <w:rsid w:val="0031789E"/>
    <w:rsid w:val="00317B28"/>
    <w:rsid w:val="00322A6D"/>
    <w:rsid w:val="0032424D"/>
    <w:rsid w:val="00325C10"/>
    <w:rsid w:val="003316D8"/>
    <w:rsid w:val="00332411"/>
    <w:rsid w:val="003353FD"/>
    <w:rsid w:val="00345CE6"/>
    <w:rsid w:val="0034608B"/>
    <w:rsid w:val="00346B1F"/>
    <w:rsid w:val="00355036"/>
    <w:rsid w:val="00367179"/>
    <w:rsid w:val="003712A9"/>
    <w:rsid w:val="00371A25"/>
    <w:rsid w:val="00371AE2"/>
    <w:rsid w:val="0038268D"/>
    <w:rsid w:val="00390846"/>
    <w:rsid w:val="00390DC8"/>
    <w:rsid w:val="00392075"/>
    <w:rsid w:val="00392703"/>
    <w:rsid w:val="00394D1C"/>
    <w:rsid w:val="003A2066"/>
    <w:rsid w:val="003A38D0"/>
    <w:rsid w:val="003A4A9E"/>
    <w:rsid w:val="003B185A"/>
    <w:rsid w:val="003B7892"/>
    <w:rsid w:val="003C3FC2"/>
    <w:rsid w:val="003D015B"/>
    <w:rsid w:val="003D1A6B"/>
    <w:rsid w:val="003D203E"/>
    <w:rsid w:val="003D7132"/>
    <w:rsid w:val="003E0743"/>
    <w:rsid w:val="003F7D69"/>
    <w:rsid w:val="00404461"/>
    <w:rsid w:val="00413D2C"/>
    <w:rsid w:val="00421613"/>
    <w:rsid w:val="00421AC4"/>
    <w:rsid w:val="0043672F"/>
    <w:rsid w:val="00437870"/>
    <w:rsid w:val="00442C5C"/>
    <w:rsid w:val="004463C9"/>
    <w:rsid w:val="00446CFF"/>
    <w:rsid w:val="00447EE2"/>
    <w:rsid w:val="004506C4"/>
    <w:rsid w:val="00452562"/>
    <w:rsid w:val="00454290"/>
    <w:rsid w:val="00454F0F"/>
    <w:rsid w:val="00460357"/>
    <w:rsid w:val="00463EEF"/>
    <w:rsid w:val="004718C0"/>
    <w:rsid w:val="00472DBE"/>
    <w:rsid w:val="00473DE6"/>
    <w:rsid w:val="00494BA1"/>
    <w:rsid w:val="00495B05"/>
    <w:rsid w:val="00496BDE"/>
    <w:rsid w:val="00497DEC"/>
    <w:rsid w:val="004A0608"/>
    <w:rsid w:val="004C112D"/>
    <w:rsid w:val="004C3379"/>
    <w:rsid w:val="004D36F4"/>
    <w:rsid w:val="004E2C15"/>
    <w:rsid w:val="004F19F4"/>
    <w:rsid w:val="004F1CCC"/>
    <w:rsid w:val="004F655B"/>
    <w:rsid w:val="0050258C"/>
    <w:rsid w:val="005040A0"/>
    <w:rsid w:val="0052129F"/>
    <w:rsid w:val="00525285"/>
    <w:rsid w:val="00526EA0"/>
    <w:rsid w:val="00530BD6"/>
    <w:rsid w:val="00531E62"/>
    <w:rsid w:val="005356B9"/>
    <w:rsid w:val="0053707E"/>
    <w:rsid w:val="00541400"/>
    <w:rsid w:val="00542150"/>
    <w:rsid w:val="00552CE1"/>
    <w:rsid w:val="00557639"/>
    <w:rsid w:val="00573016"/>
    <w:rsid w:val="00573170"/>
    <w:rsid w:val="00575214"/>
    <w:rsid w:val="00581FB7"/>
    <w:rsid w:val="005874FA"/>
    <w:rsid w:val="005879C1"/>
    <w:rsid w:val="005900E6"/>
    <w:rsid w:val="00590708"/>
    <w:rsid w:val="00597CE9"/>
    <w:rsid w:val="005A68AC"/>
    <w:rsid w:val="005B5E7C"/>
    <w:rsid w:val="005B7ADE"/>
    <w:rsid w:val="005C0614"/>
    <w:rsid w:val="005C0B8F"/>
    <w:rsid w:val="005C68D7"/>
    <w:rsid w:val="005D060A"/>
    <w:rsid w:val="005D0D5E"/>
    <w:rsid w:val="005D113F"/>
    <w:rsid w:val="005E2CC4"/>
    <w:rsid w:val="005E74EA"/>
    <w:rsid w:val="005E7C1B"/>
    <w:rsid w:val="005F0AEF"/>
    <w:rsid w:val="005F1696"/>
    <w:rsid w:val="005F7A47"/>
    <w:rsid w:val="006050DE"/>
    <w:rsid w:val="00605D09"/>
    <w:rsid w:val="00614BE4"/>
    <w:rsid w:val="006156B7"/>
    <w:rsid w:val="00623283"/>
    <w:rsid w:val="0062355D"/>
    <w:rsid w:val="0062488E"/>
    <w:rsid w:val="00630624"/>
    <w:rsid w:val="00631041"/>
    <w:rsid w:val="00631C73"/>
    <w:rsid w:val="00632D80"/>
    <w:rsid w:val="006330D0"/>
    <w:rsid w:val="00642326"/>
    <w:rsid w:val="00643252"/>
    <w:rsid w:val="006460B8"/>
    <w:rsid w:val="00646CA0"/>
    <w:rsid w:val="00655AC9"/>
    <w:rsid w:val="00657893"/>
    <w:rsid w:val="00662685"/>
    <w:rsid w:val="00670438"/>
    <w:rsid w:val="006709F8"/>
    <w:rsid w:val="006732AF"/>
    <w:rsid w:val="0067410A"/>
    <w:rsid w:val="00675EB8"/>
    <w:rsid w:val="0069483B"/>
    <w:rsid w:val="006958F0"/>
    <w:rsid w:val="006962EA"/>
    <w:rsid w:val="0069757A"/>
    <w:rsid w:val="006B56B5"/>
    <w:rsid w:val="006B722B"/>
    <w:rsid w:val="006C2E83"/>
    <w:rsid w:val="006C672F"/>
    <w:rsid w:val="006C6D78"/>
    <w:rsid w:val="006D1A3F"/>
    <w:rsid w:val="006E0244"/>
    <w:rsid w:val="006E1208"/>
    <w:rsid w:val="006E1F78"/>
    <w:rsid w:val="006E4C63"/>
    <w:rsid w:val="007032AB"/>
    <w:rsid w:val="00704CF4"/>
    <w:rsid w:val="00706BFF"/>
    <w:rsid w:val="007074FF"/>
    <w:rsid w:val="00710935"/>
    <w:rsid w:val="00717038"/>
    <w:rsid w:val="00721968"/>
    <w:rsid w:val="00721A5B"/>
    <w:rsid w:val="00721FBF"/>
    <w:rsid w:val="007232A7"/>
    <w:rsid w:val="00740845"/>
    <w:rsid w:val="00751B9D"/>
    <w:rsid w:val="007537C5"/>
    <w:rsid w:val="00753852"/>
    <w:rsid w:val="007663D5"/>
    <w:rsid w:val="007800E5"/>
    <w:rsid w:val="00783395"/>
    <w:rsid w:val="00784815"/>
    <w:rsid w:val="00784CAD"/>
    <w:rsid w:val="007900AC"/>
    <w:rsid w:val="007905F3"/>
    <w:rsid w:val="00793564"/>
    <w:rsid w:val="00797005"/>
    <w:rsid w:val="007A25A9"/>
    <w:rsid w:val="007A47CC"/>
    <w:rsid w:val="007B0156"/>
    <w:rsid w:val="007B42BB"/>
    <w:rsid w:val="007D10AE"/>
    <w:rsid w:val="007D1BAB"/>
    <w:rsid w:val="007D51FC"/>
    <w:rsid w:val="007F1533"/>
    <w:rsid w:val="007F1950"/>
    <w:rsid w:val="007F2E10"/>
    <w:rsid w:val="007F7D55"/>
    <w:rsid w:val="00801D83"/>
    <w:rsid w:val="00801E53"/>
    <w:rsid w:val="00811138"/>
    <w:rsid w:val="00815B54"/>
    <w:rsid w:val="008164F2"/>
    <w:rsid w:val="008307D8"/>
    <w:rsid w:val="00832C17"/>
    <w:rsid w:val="008371CF"/>
    <w:rsid w:val="00840C5C"/>
    <w:rsid w:val="00843677"/>
    <w:rsid w:val="00850613"/>
    <w:rsid w:val="00851884"/>
    <w:rsid w:val="00852EF3"/>
    <w:rsid w:val="008535E0"/>
    <w:rsid w:val="00863B14"/>
    <w:rsid w:val="00876525"/>
    <w:rsid w:val="008810B5"/>
    <w:rsid w:val="008826A8"/>
    <w:rsid w:val="00882F78"/>
    <w:rsid w:val="008922A0"/>
    <w:rsid w:val="008928B4"/>
    <w:rsid w:val="0089349D"/>
    <w:rsid w:val="00897EE5"/>
    <w:rsid w:val="008A70F5"/>
    <w:rsid w:val="008A7ADF"/>
    <w:rsid w:val="008B5D05"/>
    <w:rsid w:val="008C31DA"/>
    <w:rsid w:val="008C6BEA"/>
    <w:rsid w:val="008C72A5"/>
    <w:rsid w:val="008D48E6"/>
    <w:rsid w:val="008E0E6A"/>
    <w:rsid w:val="008E748C"/>
    <w:rsid w:val="008F5679"/>
    <w:rsid w:val="008F71CD"/>
    <w:rsid w:val="008F7789"/>
    <w:rsid w:val="00900120"/>
    <w:rsid w:val="00901393"/>
    <w:rsid w:val="0090700E"/>
    <w:rsid w:val="00907320"/>
    <w:rsid w:val="0091189C"/>
    <w:rsid w:val="0091425C"/>
    <w:rsid w:val="0092381D"/>
    <w:rsid w:val="00926160"/>
    <w:rsid w:val="00927C64"/>
    <w:rsid w:val="0093239A"/>
    <w:rsid w:val="00934ED6"/>
    <w:rsid w:val="0093507B"/>
    <w:rsid w:val="0093531C"/>
    <w:rsid w:val="0094264B"/>
    <w:rsid w:val="00950435"/>
    <w:rsid w:val="00950D24"/>
    <w:rsid w:val="009524A5"/>
    <w:rsid w:val="0095309D"/>
    <w:rsid w:val="00975283"/>
    <w:rsid w:val="00975912"/>
    <w:rsid w:val="00975E27"/>
    <w:rsid w:val="009769CC"/>
    <w:rsid w:val="00977B17"/>
    <w:rsid w:val="00982A64"/>
    <w:rsid w:val="00982AE2"/>
    <w:rsid w:val="009868A5"/>
    <w:rsid w:val="00991EF6"/>
    <w:rsid w:val="0099340D"/>
    <w:rsid w:val="00994056"/>
    <w:rsid w:val="009A026D"/>
    <w:rsid w:val="009C5115"/>
    <w:rsid w:val="009D30D5"/>
    <w:rsid w:val="009D62FA"/>
    <w:rsid w:val="009D66FA"/>
    <w:rsid w:val="009E1C66"/>
    <w:rsid w:val="009E704F"/>
    <w:rsid w:val="009F30AF"/>
    <w:rsid w:val="009F5F25"/>
    <w:rsid w:val="009F79D3"/>
    <w:rsid w:val="00A071D4"/>
    <w:rsid w:val="00A106A5"/>
    <w:rsid w:val="00A123F1"/>
    <w:rsid w:val="00A1405B"/>
    <w:rsid w:val="00A15538"/>
    <w:rsid w:val="00A206D4"/>
    <w:rsid w:val="00A273E8"/>
    <w:rsid w:val="00A410A4"/>
    <w:rsid w:val="00A4116A"/>
    <w:rsid w:val="00A46EE7"/>
    <w:rsid w:val="00A51A38"/>
    <w:rsid w:val="00A56106"/>
    <w:rsid w:val="00A655B1"/>
    <w:rsid w:val="00A66B7C"/>
    <w:rsid w:val="00A67ED2"/>
    <w:rsid w:val="00A70952"/>
    <w:rsid w:val="00A7161F"/>
    <w:rsid w:val="00A747CC"/>
    <w:rsid w:val="00A92154"/>
    <w:rsid w:val="00AC1985"/>
    <w:rsid w:val="00AC274B"/>
    <w:rsid w:val="00AD7CA0"/>
    <w:rsid w:val="00AE6AAF"/>
    <w:rsid w:val="00B0000C"/>
    <w:rsid w:val="00B179BC"/>
    <w:rsid w:val="00B2040D"/>
    <w:rsid w:val="00B22427"/>
    <w:rsid w:val="00B340E8"/>
    <w:rsid w:val="00B4119F"/>
    <w:rsid w:val="00B4323F"/>
    <w:rsid w:val="00B432C6"/>
    <w:rsid w:val="00B4387A"/>
    <w:rsid w:val="00B4791E"/>
    <w:rsid w:val="00B53730"/>
    <w:rsid w:val="00B60462"/>
    <w:rsid w:val="00B653F3"/>
    <w:rsid w:val="00B75D8A"/>
    <w:rsid w:val="00B75F46"/>
    <w:rsid w:val="00B826EC"/>
    <w:rsid w:val="00B9116B"/>
    <w:rsid w:val="00B9126F"/>
    <w:rsid w:val="00BB0336"/>
    <w:rsid w:val="00BB6A4D"/>
    <w:rsid w:val="00BC0B70"/>
    <w:rsid w:val="00BC1A45"/>
    <w:rsid w:val="00BC2AF5"/>
    <w:rsid w:val="00BC653C"/>
    <w:rsid w:val="00BD076D"/>
    <w:rsid w:val="00BD23D6"/>
    <w:rsid w:val="00BD58CA"/>
    <w:rsid w:val="00BD6518"/>
    <w:rsid w:val="00BE10A0"/>
    <w:rsid w:val="00BE3CEC"/>
    <w:rsid w:val="00BE7FEF"/>
    <w:rsid w:val="00BF262F"/>
    <w:rsid w:val="00BF3C15"/>
    <w:rsid w:val="00BF45A1"/>
    <w:rsid w:val="00BF5F61"/>
    <w:rsid w:val="00BF7995"/>
    <w:rsid w:val="00C03E92"/>
    <w:rsid w:val="00C10C15"/>
    <w:rsid w:val="00C14352"/>
    <w:rsid w:val="00C17816"/>
    <w:rsid w:val="00C20BAC"/>
    <w:rsid w:val="00C224FE"/>
    <w:rsid w:val="00C235BA"/>
    <w:rsid w:val="00C24BF4"/>
    <w:rsid w:val="00C26243"/>
    <w:rsid w:val="00C26D98"/>
    <w:rsid w:val="00C35446"/>
    <w:rsid w:val="00C449BA"/>
    <w:rsid w:val="00C463B3"/>
    <w:rsid w:val="00C62E01"/>
    <w:rsid w:val="00C644D0"/>
    <w:rsid w:val="00C64C79"/>
    <w:rsid w:val="00C71C2B"/>
    <w:rsid w:val="00C73E83"/>
    <w:rsid w:val="00C84FEF"/>
    <w:rsid w:val="00C86B98"/>
    <w:rsid w:val="00C97F8E"/>
    <w:rsid w:val="00CA0A3A"/>
    <w:rsid w:val="00CA31F7"/>
    <w:rsid w:val="00CB594D"/>
    <w:rsid w:val="00CC1A13"/>
    <w:rsid w:val="00CC3EE3"/>
    <w:rsid w:val="00CD093D"/>
    <w:rsid w:val="00CD0FEF"/>
    <w:rsid w:val="00CD367C"/>
    <w:rsid w:val="00CD4FE4"/>
    <w:rsid w:val="00CF2FC5"/>
    <w:rsid w:val="00D05011"/>
    <w:rsid w:val="00D07190"/>
    <w:rsid w:val="00D073ED"/>
    <w:rsid w:val="00D10762"/>
    <w:rsid w:val="00D11DAA"/>
    <w:rsid w:val="00D15235"/>
    <w:rsid w:val="00D20089"/>
    <w:rsid w:val="00D25D37"/>
    <w:rsid w:val="00D41256"/>
    <w:rsid w:val="00D41CB8"/>
    <w:rsid w:val="00D423F7"/>
    <w:rsid w:val="00D47EEF"/>
    <w:rsid w:val="00D75C51"/>
    <w:rsid w:val="00D80899"/>
    <w:rsid w:val="00D8580B"/>
    <w:rsid w:val="00D86515"/>
    <w:rsid w:val="00D86739"/>
    <w:rsid w:val="00D92840"/>
    <w:rsid w:val="00D93335"/>
    <w:rsid w:val="00D94BC8"/>
    <w:rsid w:val="00D9619D"/>
    <w:rsid w:val="00DB6842"/>
    <w:rsid w:val="00DB6B56"/>
    <w:rsid w:val="00DB7A78"/>
    <w:rsid w:val="00DC25F9"/>
    <w:rsid w:val="00DE6DB9"/>
    <w:rsid w:val="00DE72D1"/>
    <w:rsid w:val="00DE7C47"/>
    <w:rsid w:val="00DF36D9"/>
    <w:rsid w:val="00DF5AEE"/>
    <w:rsid w:val="00DF7235"/>
    <w:rsid w:val="00E033F7"/>
    <w:rsid w:val="00E21061"/>
    <w:rsid w:val="00E21A53"/>
    <w:rsid w:val="00E27751"/>
    <w:rsid w:val="00E300B6"/>
    <w:rsid w:val="00E30ED5"/>
    <w:rsid w:val="00E328A1"/>
    <w:rsid w:val="00E408A9"/>
    <w:rsid w:val="00E466F6"/>
    <w:rsid w:val="00E513E5"/>
    <w:rsid w:val="00E52F95"/>
    <w:rsid w:val="00E63BF7"/>
    <w:rsid w:val="00E7552E"/>
    <w:rsid w:val="00E7680C"/>
    <w:rsid w:val="00E76A6F"/>
    <w:rsid w:val="00E847C9"/>
    <w:rsid w:val="00E865DB"/>
    <w:rsid w:val="00E86A8E"/>
    <w:rsid w:val="00E90AA1"/>
    <w:rsid w:val="00E9142F"/>
    <w:rsid w:val="00EB688D"/>
    <w:rsid w:val="00EC2961"/>
    <w:rsid w:val="00ED1110"/>
    <w:rsid w:val="00ED5E85"/>
    <w:rsid w:val="00EE4DCD"/>
    <w:rsid w:val="00EE73AF"/>
    <w:rsid w:val="00EF0207"/>
    <w:rsid w:val="00EF0B3C"/>
    <w:rsid w:val="00EF1B74"/>
    <w:rsid w:val="00EF2B2B"/>
    <w:rsid w:val="00EF7057"/>
    <w:rsid w:val="00F10495"/>
    <w:rsid w:val="00F44C56"/>
    <w:rsid w:val="00F450A7"/>
    <w:rsid w:val="00F51489"/>
    <w:rsid w:val="00F60F91"/>
    <w:rsid w:val="00F64BA6"/>
    <w:rsid w:val="00F64BCA"/>
    <w:rsid w:val="00F70DDC"/>
    <w:rsid w:val="00F74877"/>
    <w:rsid w:val="00F76750"/>
    <w:rsid w:val="00F76E49"/>
    <w:rsid w:val="00F82E42"/>
    <w:rsid w:val="00F872A8"/>
    <w:rsid w:val="00F9218C"/>
    <w:rsid w:val="00FA0339"/>
    <w:rsid w:val="00FA335A"/>
    <w:rsid w:val="00FA4CDD"/>
    <w:rsid w:val="00FA5FBB"/>
    <w:rsid w:val="00FB2856"/>
    <w:rsid w:val="00FB3187"/>
    <w:rsid w:val="00FB3DA6"/>
    <w:rsid w:val="00FC153E"/>
    <w:rsid w:val="00FC5FC4"/>
    <w:rsid w:val="00FD16FC"/>
    <w:rsid w:val="00FD1996"/>
    <w:rsid w:val="00FD7518"/>
    <w:rsid w:val="00FE2638"/>
    <w:rsid w:val="00FE2BD8"/>
    <w:rsid w:val="00FE47DD"/>
    <w:rsid w:val="00FE4A83"/>
    <w:rsid w:val="00FE4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BC43"/>
  <w15:chartTrackingRefBased/>
  <w15:docId w15:val="{D3F80178-64A3-440C-BCEA-D8AEC00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26EA0"/>
    <w:pPr>
      <w:ind w:left="720"/>
    </w:pPr>
  </w:style>
  <w:style w:type="numbering" w:customStyle="1" w:styleId="Ricksrule">
    <w:name w:val="Rick's rule"/>
    <w:rsid w:val="008810B5"/>
    <w:pPr>
      <w:numPr>
        <w:numId w:val="1"/>
      </w:numPr>
    </w:pPr>
  </w:style>
  <w:style w:type="paragraph" w:styleId="NoSpacing">
    <w:name w:val="No Spacing"/>
    <w:uiPriority w:val="1"/>
    <w:qFormat/>
    <w:rsid w:val="002D3E56"/>
  </w:style>
  <w:style w:type="character" w:styleId="Hyperlink">
    <w:name w:val="Hyperlink"/>
    <w:uiPriority w:val="99"/>
    <w:unhideWhenUsed/>
    <w:rsid w:val="00294885"/>
    <w:rPr>
      <w:color w:val="0000FF"/>
      <w:u w:val="single"/>
    </w:rPr>
  </w:style>
  <w:style w:type="character" w:styleId="CommentReference">
    <w:name w:val="annotation reference"/>
    <w:uiPriority w:val="99"/>
    <w:semiHidden/>
    <w:unhideWhenUsed/>
    <w:rsid w:val="00A273E8"/>
    <w:rPr>
      <w:sz w:val="16"/>
      <w:szCs w:val="16"/>
    </w:rPr>
  </w:style>
  <w:style w:type="paragraph" w:styleId="CommentText">
    <w:name w:val="annotation text"/>
    <w:basedOn w:val="Normal"/>
    <w:link w:val="CommentTextChar"/>
    <w:uiPriority w:val="99"/>
    <w:unhideWhenUsed/>
    <w:rsid w:val="00A273E8"/>
  </w:style>
  <w:style w:type="character" w:customStyle="1" w:styleId="CommentTextChar">
    <w:name w:val="Comment Text Char"/>
    <w:basedOn w:val="DefaultParagraphFont"/>
    <w:link w:val="CommentText"/>
    <w:uiPriority w:val="99"/>
    <w:rsid w:val="00A273E8"/>
  </w:style>
  <w:style w:type="paragraph" w:styleId="CommentSubject">
    <w:name w:val="annotation subject"/>
    <w:basedOn w:val="CommentText"/>
    <w:next w:val="CommentText"/>
    <w:link w:val="CommentSubjectChar"/>
    <w:uiPriority w:val="99"/>
    <w:semiHidden/>
    <w:unhideWhenUsed/>
    <w:rsid w:val="00A273E8"/>
    <w:rPr>
      <w:b/>
      <w:bCs/>
    </w:rPr>
  </w:style>
  <w:style w:type="character" w:customStyle="1" w:styleId="CommentSubjectChar">
    <w:name w:val="Comment Subject Char"/>
    <w:link w:val="CommentSubject"/>
    <w:uiPriority w:val="99"/>
    <w:semiHidden/>
    <w:rsid w:val="00A273E8"/>
    <w:rPr>
      <w:b/>
      <w:bCs/>
    </w:rPr>
  </w:style>
  <w:style w:type="character" w:styleId="UnresolvedMention">
    <w:name w:val="Unresolved Mention"/>
    <w:uiPriority w:val="99"/>
    <w:semiHidden/>
    <w:unhideWhenUsed/>
    <w:rsid w:val="00092B20"/>
    <w:rPr>
      <w:color w:val="605E5C"/>
      <w:shd w:val="clear" w:color="auto" w:fill="E1DFDD"/>
    </w:rPr>
  </w:style>
  <w:style w:type="character" w:styleId="FollowedHyperlink">
    <w:name w:val="FollowedHyperlink"/>
    <w:uiPriority w:val="99"/>
    <w:semiHidden/>
    <w:unhideWhenUsed/>
    <w:rsid w:val="00092B20"/>
    <w:rPr>
      <w:color w:val="96607D"/>
      <w:u w:val="single"/>
    </w:rPr>
  </w:style>
  <w:style w:type="paragraph" w:customStyle="1" w:styleId="DesignComments">
    <w:name w:val="Design Comments"/>
    <w:basedOn w:val="Normal"/>
    <w:rsid w:val="000C0E73"/>
    <w:pPr>
      <w:suppressAutoHyphens/>
      <w:spacing w:before="240"/>
      <w:jc w:val="both"/>
    </w:pPr>
    <w:rPr>
      <w:rFonts w:ascii="Arial" w:hAnsi="Arial"/>
      <w:vanish/>
      <w:color w:val="0000FF"/>
    </w:rPr>
  </w:style>
  <w:style w:type="paragraph" w:customStyle="1" w:styleId="ARCATArticle">
    <w:name w:val="ARCAT Article"/>
    <w:basedOn w:val="Normal"/>
    <w:uiPriority w:val="99"/>
    <w:rsid w:val="0050258C"/>
    <w:pPr>
      <w:numPr>
        <w:ilvl w:val="1"/>
        <w:numId w:val="16"/>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50258C"/>
    <w:pPr>
      <w:numPr>
        <w:ilvl w:val="2"/>
        <w:numId w:val="16"/>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50258C"/>
    <w:pPr>
      <w:numPr>
        <w:ilvl w:val="3"/>
        <w:numId w:val="16"/>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50258C"/>
    <w:pPr>
      <w:numPr>
        <w:ilvl w:val="4"/>
        <w:numId w:val="16"/>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50258C"/>
    <w:pPr>
      <w:numPr>
        <w:ilvl w:val="5"/>
        <w:numId w:val="16"/>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50258C"/>
    <w:pPr>
      <w:numPr>
        <w:ilvl w:val="6"/>
        <w:numId w:val="16"/>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50258C"/>
    <w:pPr>
      <w:numPr>
        <w:ilvl w:val="7"/>
        <w:numId w:val="16"/>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50258C"/>
    <w:pPr>
      <w:numPr>
        <w:ilvl w:val="8"/>
        <w:numId w:val="16"/>
      </w:numPr>
      <w:spacing w:after="160" w:line="259" w:lineRule="auto"/>
    </w:pPr>
    <w:rPr>
      <w:rFonts w:asciiTheme="minorHAnsi" w:eastAsiaTheme="minorHAnsi" w:hAnsiTheme="minorHAnsi" w:cstheme="minorBidi"/>
      <w:sz w:val="22"/>
      <w:szCs w:val="22"/>
    </w:rPr>
  </w:style>
  <w:style w:type="character" w:customStyle="1" w:styleId="Heading3Char">
    <w:name w:val="Heading 3 Char"/>
    <w:link w:val="Heading3"/>
    <w:rsid w:val="00263F49"/>
    <w:rPr>
      <w:sz w:val="24"/>
    </w:rPr>
  </w:style>
  <w:style w:type="paragraph" w:styleId="HTMLPreformatted">
    <w:name w:val="HTML Preformatted"/>
    <w:basedOn w:val="Normal"/>
    <w:link w:val="HTMLPreformattedChar"/>
    <w:uiPriority w:val="99"/>
    <w:semiHidden/>
    <w:unhideWhenUsed/>
    <w:rsid w:val="003712A9"/>
    <w:rPr>
      <w:rFonts w:ascii="Consolas" w:hAnsi="Consolas"/>
    </w:rPr>
  </w:style>
  <w:style w:type="character" w:customStyle="1" w:styleId="HTMLPreformattedChar">
    <w:name w:val="HTML Preformatted Char"/>
    <w:basedOn w:val="DefaultParagraphFont"/>
    <w:link w:val="HTMLPreformatted"/>
    <w:uiPriority w:val="99"/>
    <w:semiHidden/>
    <w:rsid w:val="003712A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094">
      <w:bodyDiv w:val="1"/>
      <w:marLeft w:val="0"/>
      <w:marRight w:val="0"/>
      <w:marTop w:val="0"/>
      <w:marBottom w:val="0"/>
      <w:divBdr>
        <w:top w:val="none" w:sz="0" w:space="0" w:color="auto"/>
        <w:left w:val="none" w:sz="0" w:space="0" w:color="auto"/>
        <w:bottom w:val="none" w:sz="0" w:space="0" w:color="auto"/>
        <w:right w:val="none" w:sz="0" w:space="0" w:color="auto"/>
      </w:divBdr>
    </w:div>
    <w:div w:id="18219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gf.showpad.com/share/RwTSlAGiTE1h1riOVG2B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f.showpad.com/share/RwTSlAGiTE1h1riOVG2By" TargetMode="Externa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specifications@georgfischer.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892EA3A-1CC2-46A5-A04E-8B92F460F585}">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2.xml><?xml version="1.0" encoding="utf-8"?>
<ds:datastoreItem xmlns:ds="http://schemas.openxmlformats.org/officeDocument/2006/customXml" ds:itemID="{E4C9D3DC-2211-4B6D-9192-C9150F48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96F93-2B49-4C7E-AB3C-D5EC2B86860E}">
  <ds:schemaRefs>
    <ds:schemaRef ds:uri="http://schemas.microsoft.com/sharepoint/v3/contenttype/forms"/>
  </ds:schemaRefs>
</ds:datastoreItem>
</file>

<file path=customXml/itemProps4.xml><?xml version="1.0" encoding="utf-8"?>
<ds:datastoreItem xmlns:ds="http://schemas.openxmlformats.org/officeDocument/2006/customXml" ds:itemID="{FBD0C104-6AD8-4832-B02A-6111B6655219}">
  <ds:schemaRefs>
    <ds:schemaRef ds:uri="http://schemas.openxmlformats.org/officeDocument/2006/bibliography"/>
  </ds:schemaRefs>
</ds:datastoreItem>
</file>

<file path=customXml/itemProps5.xml><?xml version="1.0" encoding="utf-8"?>
<ds:datastoreItem xmlns:ds="http://schemas.openxmlformats.org/officeDocument/2006/customXml" ds:itemID="{ECA8276A-7FB4-4CF4-B8B7-B8238ED7EF7F}">
  <ds:schemaRefs>
    <ds:schemaRef ds:uri="http://schemas.microsoft.com/office/2006/metadata/longPropertie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4031</Words>
  <Characters>20914</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15770</vt:lpstr>
      <vt:lpstr>SECTION 15770</vt:lpstr>
    </vt:vector>
  </TitlesOfParts>
  <Company>Uponor Wirsbo</Company>
  <LinksUpToDate>false</LinksUpToDate>
  <CharactersWithSpaces>24896</CharactersWithSpaces>
  <SharedDoc>false</SharedDoc>
  <HLinks>
    <vt:vector size="12" baseType="variant">
      <vt:variant>
        <vt:i4>6422624</vt:i4>
      </vt:variant>
      <vt:variant>
        <vt:i4>3</vt:i4>
      </vt:variant>
      <vt:variant>
        <vt:i4>0</vt:i4>
      </vt:variant>
      <vt:variant>
        <vt:i4>5</vt:i4>
      </vt:variant>
      <vt:variant>
        <vt:lpwstr>https://gf.showpad.com/share/Rt62nhlQpQOd6njzakMYM</vt:lpwstr>
      </vt:variant>
      <vt:variant>
        <vt:lpwstr/>
      </vt: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16</cp:revision>
  <cp:lastPrinted>2009-03-21T13:59:00Z</cp:lastPrinted>
  <dcterms:created xsi:type="dcterms:W3CDTF">2026-01-20T02:28:00Z</dcterms:created>
  <dcterms:modified xsi:type="dcterms:W3CDTF">2026-01-20T03:47:00Z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2021-02-18T20:06:52.7034652Z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b1b692fb-3bf7-4fa5-a7e2-58fe140405b4</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ContentTypeId">
    <vt:lpwstr>0x01010063DFA053A634A341974A0B6606E424BE</vt:lpwstr>
  </property>
  <property fmtid="{D5CDD505-2E9C-101B-9397-08002B2CF9AE}" pid="12" name="display_urn:schemas-microsoft-com:office:office#Editor">
    <vt:lpwstr>Graber, Matt</vt:lpwstr>
  </property>
  <property fmtid="{D5CDD505-2E9C-101B-9397-08002B2CF9AE}" pid="13" name="Order">
    <vt:lpwstr>161500.000000000</vt:lpwstr>
  </property>
  <property fmtid="{D5CDD505-2E9C-101B-9397-08002B2CF9AE}" pid="14" name="display_urn:schemas-microsoft-com:office:office#Author">
    <vt:lpwstr>Graber, Matt</vt:lpwstr>
  </property>
  <property fmtid="{D5CDD505-2E9C-101B-9397-08002B2CF9AE}" pid="15" name="MediaServiceImageTags">
    <vt:lpwstr/>
  </property>
  <property fmtid="{D5CDD505-2E9C-101B-9397-08002B2CF9AE}" pid="16" name="ClassificationContentMarkingHeaderShapeIds">
    <vt:lpwstr>792b85ee,422496a1,6588d1ca</vt:lpwstr>
  </property>
  <property fmtid="{D5CDD505-2E9C-101B-9397-08002B2CF9AE}" pid="17" name="ClassificationContentMarkingHeaderFontProps">
    <vt:lpwstr>#ff0000,8,Arial</vt:lpwstr>
  </property>
  <property fmtid="{D5CDD505-2E9C-101B-9397-08002B2CF9AE}" pid="18" name="ClassificationContentMarkingHeaderText">
    <vt:lpwstr>INTERNAL </vt:lpwstr>
  </property>
</Properties>
</file>