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5EC47C7F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717DB5">
        <w:rPr>
          <w:rFonts w:ascii="Arial" w:eastAsia="Calibri" w:hAnsi="Arial" w:cs="Arial"/>
          <w:b/>
          <w:i/>
          <w:color w:val="1F497D"/>
          <w:lang w:val="lt-LT"/>
        </w:rPr>
        <w:t>izoliuoti vamzdynai</w:t>
      </w:r>
    </w:p>
    <w:p w14:paraId="45877810" w14:textId="77777777" w:rsidR="009F369B" w:rsidRPr="009F369B" w:rsidRDefault="009F369B" w:rsidP="004476BF">
      <w:pPr>
        <w:rPr>
          <w:rFonts w:ascii="Arial" w:eastAsia="Calibri" w:hAnsi="Arial" w:cs="Arial"/>
          <w:b/>
          <w:i/>
          <w:color w:val="1F497D"/>
          <w:sz w:val="16"/>
          <w:szCs w:val="16"/>
          <w:lang w:val="lt-LT"/>
        </w:rPr>
      </w:pPr>
    </w:p>
    <w:p w14:paraId="15A6201E" w14:textId="77777777" w:rsidR="006839AD" w:rsidRDefault="006839AD" w:rsidP="006839AD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8B3F62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Ecoflex </w:t>
      </w:r>
      <w:r w:rsidRPr="008B3F62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Supra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</w:t>
      </w:r>
      <w:r w:rsidRPr="008B3F62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amzdžiai šalto vandens (PN10) tiekimui, ritėse 100-200m</w:t>
      </w:r>
    </w:p>
    <w:p w14:paraId="212ACCAF" w14:textId="77777777" w:rsidR="006839AD" w:rsidRPr="003552A6" w:rsidRDefault="006839AD" w:rsidP="006839AD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01FB0861" w14:textId="77777777" w:rsidR="006839AD" w:rsidRDefault="006839AD" w:rsidP="006839AD">
      <w:pPr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</w:t>
      </w:r>
      <w:r w:rsidRPr="00D2319B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Supra P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LUS</w:t>
      </w:r>
      <w:r w:rsidRPr="00D2319B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  <w:r w:rsidRPr="00D2319B">
        <w:rPr>
          <w:rFonts w:ascii="Arial" w:hAnsi="Arial" w:cs="Arial"/>
          <w:i/>
          <w:color w:val="1F497D"/>
          <w:sz w:val="20"/>
          <w:szCs w:val="20"/>
        </w:rPr>
        <w:t>25x2,3</w:t>
      </w:r>
      <w:r>
        <w:rPr>
          <w:rFonts w:ascii="Arial" w:hAnsi="Arial" w:cs="Arial"/>
          <w:i/>
          <w:color w:val="1F497D"/>
          <w:sz w:val="20"/>
          <w:szCs w:val="20"/>
        </w:rPr>
        <w:t>/68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; </w:t>
      </w:r>
      <w:bookmarkStart w:id="0" w:name="_Hlk205974487"/>
      <w:r w:rsidRPr="00D2319B">
        <w:rPr>
          <w:rFonts w:ascii="Arial" w:hAnsi="Arial" w:cs="Arial"/>
          <w:i/>
          <w:color w:val="1F497D"/>
          <w:sz w:val="20"/>
          <w:szCs w:val="20"/>
        </w:rPr>
        <w:t>32x2,9</w:t>
      </w:r>
      <w:r>
        <w:rPr>
          <w:rFonts w:ascii="Arial" w:hAnsi="Arial" w:cs="Arial"/>
          <w:i/>
          <w:color w:val="1F497D"/>
          <w:sz w:val="20"/>
          <w:szCs w:val="20"/>
        </w:rPr>
        <w:t>/68</w:t>
      </w:r>
      <w:bookmarkEnd w:id="0"/>
      <w:r>
        <w:rPr>
          <w:rFonts w:ascii="Arial" w:hAnsi="Arial" w:cs="Arial"/>
          <w:i/>
          <w:color w:val="1F497D"/>
          <w:sz w:val="20"/>
          <w:szCs w:val="20"/>
        </w:rPr>
        <w:t>,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32x2,9</w:t>
      </w:r>
      <w:r>
        <w:rPr>
          <w:rFonts w:ascii="Arial" w:hAnsi="Arial" w:cs="Arial"/>
          <w:i/>
          <w:color w:val="1F497D"/>
          <w:sz w:val="20"/>
          <w:szCs w:val="20"/>
        </w:rPr>
        <w:t xml:space="preserve">/140, </w:t>
      </w:r>
      <w:r w:rsidRPr="00D2319B">
        <w:rPr>
          <w:rFonts w:ascii="Arial" w:hAnsi="Arial" w:cs="Arial"/>
          <w:i/>
          <w:color w:val="1F497D"/>
          <w:sz w:val="20"/>
          <w:szCs w:val="20"/>
        </w:rPr>
        <w:t>40x3,7</w:t>
      </w:r>
      <w:r>
        <w:rPr>
          <w:rFonts w:ascii="Arial" w:hAnsi="Arial" w:cs="Arial"/>
          <w:i/>
          <w:color w:val="1F497D"/>
          <w:sz w:val="20"/>
          <w:szCs w:val="20"/>
        </w:rPr>
        <w:t>/90,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40x3,7</w:t>
      </w:r>
      <w:r>
        <w:rPr>
          <w:rFonts w:ascii="Arial" w:hAnsi="Arial" w:cs="Arial"/>
          <w:i/>
          <w:color w:val="1F497D"/>
          <w:sz w:val="20"/>
          <w:szCs w:val="20"/>
        </w:rPr>
        <w:t xml:space="preserve">/140, </w:t>
      </w:r>
      <w:r w:rsidRPr="00D2319B">
        <w:rPr>
          <w:rFonts w:ascii="Arial" w:hAnsi="Arial" w:cs="Arial"/>
          <w:i/>
          <w:color w:val="1F497D"/>
          <w:sz w:val="20"/>
          <w:szCs w:val="20"/>
        </w:rPr>
        <w:t>50x4,6</w:t>
      </w:r>
      <w:r>
        <w:rPr>
          <w:rFonts w:ascii="Arial" w:hAnsi="Arial" w:cs="Arial"/>
          <w:i/>
          <w:color w:val="1F497D"/>
          <w:sz w:val="20"/>
          <w:szCs w:val="20"/>
        </w:rPr>
        <w:t xml:space="preserve">/90, </w:t>
      </w:r>
      <w:r w:rsidRPr="00D2319B">
        <w:rPr>
          <w:rFonts w:ascii="Arial" w:hAnsi="Arial" w:cs="Arial"/>
          <w:i/>
          <w:color w:val="1F497D"/>
          <w:sz w:val="20"/>
          <w:szCs w:val="20"/>
        </w:rPr>
        <w:t>50x4,6</w:t>
      </w:r>
      <w:r>
        <w:rPr>
          <w:rFonts w:ascii="Arial" w:hAnsi="Arial" w:cs="Arial"/>
          <w:i/>
          <w:color w:val="1F497D"/>
          <w:sz w:val="20"/>
          <w:szCs w:val="20"/>
        </w:rPr>
        <w:t>/140,</w:t>
      </w:r>
    </w:p>
    <w:p w14:paraId="167D2A90" w14:textId="77777777" w:rsidR="006839AD" w:rsidRDefault="006839AD" w:rsidP="006839AD">
      <w:pPr>
        <w:rPr>
          <w:rFonts w:ascii="Arial" w:hAnsi="Arial" w:cs="Arial"/>
          <w:i/>
          <w:color w:val="1F497D"/>
          <w:sz w:val="20"/>
          <w:szCs w:val="20"/>
        </w:rPr>
      </w:pPr>
      <w:r>
        <w:rPr>
          <w:rFonts w:ascii="Arial" w:hAnsi="Arial" w:cs="Arial"/>
          <w:i/>
          <w:color w:val="1F497D"/>
          <w:sz w:val="20"/>
          <w:szCs w:val="20"/>
        </w:rPr>
        <w:t xml:space="preserve">                                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63x5,8</w:t>
      </w:r>
      <w:r>
        <w:rPr>
          <w:rFonts w:ascii="Arial" w:hAnsi="Arial" w:cs="Arial"/>
          <w:i/>
          <w:color w:val="1F497D"/>
          <w:sz w:val="20"/>
          <w:szCs w:val="20"/>
        </w:rPr>
        <w:t>/140,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75x6,8</w:t>
      </w:r>
      <w:r>
        <w:rPr>
          <w:rFonts w:ascii="Arial" w:hAnsi="Arial" w:cs="Arial"/>
          <w:i/>
          <w:color w:val="1F497D"/>
          <w:sz w:val="20"/>
          <w:szCs w:val="20"/>
        </w:rPr>
        <w:t>/175,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90x8,2</w:t>
      </w:r>
      <w:r>
        <w:rPr>
          <w:rFonts w:ascii="Arial" w:hAnsi="Arial" w:cs="Arial"/>
          <w:i/>
          <w:color w:val="1F497D"/>
          <w:sz w:val="20"/>
          <w:szCs w:val="20"/>
        </w:rPr>
        <w:t>/200,</w:t>
      </w:r>
      <w:r w:rsidRPr="00D2319B">
        <w:rPr>
          <w:rFonts w:ascii="Arial" w:hAnsi="Arial" w:cs="Arial"/>
          <w:i/>
          <w:color w:val="1F497D"/>
          <w:sz w:val="20"/>
          <w:szCs w:val="20"/>
        </w:rPr>
        <w:t xml:space="preserve"> 110x10,0</w:t>
      </w:r>
      <w:r>
        <w:rPr>
          <w:rFonts w:ascii="Arial" w:hAnsi="Arial" w:cs="Arial"/>
          <w:i/>
          <w:color w:val="1F497D"/>
          <w:sz w:val="20"/>
          <w:szCs w:val="20"/>
        </w:rPr>
        <w:t>/</w:t>
      </w:r>
      <w:proofErr w:type="gramStart"/>
      <w:r>
        <w:rPr>
          <w:rFonts w:ascii="Arial" w:hAnsi="Arial" w:cs="Arial"/>
          <w:i/>
          <w:color w:val="1F497D"/>
          <w:sz w:val="20"/>
          <w:szCs w:val="20"/>
        </w:rPr>
        <w:t>200;</w:t>
      </w:r>
      <w:proofErr w:type="gramEnd"/>
    </w:p>
    <w:p w14:paraId="5AD68811" w14:textId="77777777" w:rsidR="006839AD" w:rsidRPr="00EF3967" w:rsidRDefault="006839AD" w:rsidP="006839AD">
      <w:pPr>
        <w:rPr>
          <w:rFonts w:ascii="Arial" w:hAnsi="Arial" w:cs="Arial"/>
          <w:i/>
          <w:color w:val="1F497D"/>
          <w:sz w:val="16"/>
          <w:szCs w:val="16"/>
        </w:rPr>
      </w:pPr>
    </w:p>
    <w:p w14:paraId="34178464" w14:textId="77777777" w:rsidR="006839AD" w:rsidRDefault="006839AD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D2319B">
        <w:rPr>
          <w:rFonts w:ascii="Arial" w:hAnsi="Arial" w:cs="Arial"/>
          <w:sz w:val="20"/>
          <w:szCs w:val="20"/>
          <w:lang w:val="lt-LT" w:eastAsia="lt-LT" w:bidi="ar-SA"/>
        </w:rPr>
        <w:t>Lankst</w:t>
      </w:r>
      <w:r>
        <w:rPr>
          <w:rFonts w:ascii="Arial" w:hAnsi="Arial" w:cs="Arial"/>
          <w:sz w:val="20"/>
          <w:szCs w:val="20"/>
          <w:lang w:val="lt-LT" w:eastAsia="lt-LT" w:bidi="ar-SA"/>
        </w:rPr>
        <w:t>ūs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iš anksto izoliuot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lang w:val="lt-LT" w:eastAsia="lt-LT" w:bidi="ar-SA"/>
        </w:rPr>
        <w:t>žiai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skirt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šalto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vandens 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tiekimui su elektriniu šildymo kabeliu dėl užšalimo prevencijos.</w:t>
      </w:r>
    </w:p>
    <w:p w14:paraId="053EC740" w14:textId="77777777" w:rsidR="006839AD" w:rsidRPr="00A3221C" w:rsidRDefault="006839AD" w:rsidP="006839AD">
      <w:pPr>
        <w:rPr>
          <w:rFonts w:ascii="Arial" w:hAnsi="Arial" w:cs="Arial"/>
          <w:sz w:val="16"/>
          <w:szCs w:val="16"/>
          <w:u w:val="single"/>
          <w:lang w:val="lt-LT" w:eastAsia="lt-LT" w:bidi="ar-SA"/>
        </w:rPr>
      </w:pPr>
    </w:p>
    <w:p w14:paraId="546E8A56" w14:textId="095A3D70" w:rsidR="006839AD" w:rsidRDefault="006839AD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DC0A30">
        <w:rPr>
          <w:rFonts w:ascii="Arial" w:hAnsi="Arial" w:cs="Arial"/>
          <w:sz w:val="20"/>
          <w:szCs w:val="20"/>
          <w:u w:val="single"/>
          <w:lang w:val="lt-LT" w:eastAsia="lt-LT" w:bidi="ar-SA"/>
        </w:rPr>
        <w:t>Pagrindini</w:t>
      </w:r>
      <w:r>
        <w:rPr>
          <w:rFonts w:ascii="Arial" w:hAnsi="Arial" w:cs="Arial"/>
          <w:sz w:val="20"/>
          <w:szCs w:val="20"/>
          <w:u w:val="single"/>
          <w:lang w:val="lt-LT" w:eastAsia="lt-LT" w:bidi="ar-SA"/>
        </w:rPr>
        <w:t>ai</w:t>
      </w:r>
      <w:r w:rsidRPr="00DC0A30">
        <w:rPr>
          <w:rFonts w:ascii="Arial" w:hAnsi="Arial" w:cs="Arial"/>
          <w:sz w:val="20"/>
          <w:szCs w:val="20"/>
          <w:u w:val="single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u w:val="single"/>
          <w:lang w:val="lt-LT" w:eastAsia="lt-LT" w:bidi="ar-SA"/>
        </w:rPr>
        <w:t>žiai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- didelio tankio polietilenas (HDPE) iki d63 imtinai </w:t>
      </w:r>
      <w:r w:rsidRPr="00DC0A30">
        <w:rPr>
          <w:rFonts w:ascii="Arial" w:hAnsi="Arial" w:cs="Arial"/>
          <w:sz w:val="20"/>
          <w:szCs w:val="20"/>
          <w:lang w:val="lt-LT"/>
        </w:rPr>
        <w:t>(PE 80)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, virš (PE100) vamzdžiai atsparūs korozijai, atitinka standartą </w:t>
      </w:r>
      <w:r w:rsidR="00EF3967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DC0A30">
        <w:rPr>
          <w:rFonts w:ascii="Arial" w:hAnsi="Arial" w:cs="Arial"/>
          <w:sz w:val="20"/>
          <w:szCs w:val="20"/>
          <w:lang w:val="lt-LT"/>
        </w:rPr>
        <w:t>EN ISO 12201, projektinė temperatūra 20</w:t>
      </w:r>
      <w:bookmarkStart w:id="1" w:name="_Hlk205975218"/>
      <w:r w:rsidRPr="00DC0A30">
        <w:rPr>
          <w:rFonts w:ascii="Arial" w:hAnsi="Arial" w:cs="Arial"/>
          <w:sz w:val="20"/>
          <w:szCs w:val="20"/>
          <w:lang w:val="lt-LT" w:eastAsia="lt-LT" w:bidi="ar-SA"/>
        </w:rPr>
        <w:t>°</w:t>
      </w:r>
      <w:bookmarkEnd w:id="1"/>
      <w:r w:rsidRPr="00DC0A30">
        <w:rPr>
          <w:rFonts w:ascii="Arial" w:hAnsi="Arial" w:cs="Arial"/>
          <w:sz w:val="20"/>
          <w:szCs w:val="20"/>
          <w:lang w:val="lt-LT"/>
        </w:rPr>
        <w:t xml:space="preserve">C, PE80 vamzdžiai PN12,5 slėgio klasės, PE100 vamzdžiai PN16 slėgio klasės. 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Vamzdžiai sertifikuoti geriamo vandens tiekimui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(DWGV)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. Šilumos laidumo koef.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ʎ</w:t>
      </w:r>
      <w:r w:rsidRPr="008A1AC2"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2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0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0,3</w:t>
      </w:r>
      <w:r>
        <w:rPr>
          <w:rFonts w:ascii="Arial" w:hAnsi="Arial" w:cs="Arial"/>
          <w:sz w:val="20"/>
          <w:szCs w:val="20"/>
          <w:lang w:val="lt-LT" w:eastAsia="lt-LT" w:bidi="ar-SA"/>
        </w:rPr>
        <w:t>8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W/m°C (DIN 4725).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Pr="00DC0A30">
        <w:rPr>
          <w:rFonts w:ascii="Arial" w:hAnsi="Arial" w:cs="Arial"/>
          <w:i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126B04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EF3967">
        <w:rPr>
          <w:rFonts w:ascii="Arial" w:hAnsi="Arial" w:cs="Arial"/>
          <w:sz w:val="20"/>
          <w:szCs w:val="20"/>
          <w:lang w:val="lt-LT" w:eastAsia="lt-LT" w:bidi="ar-SA"/>
        </w:rPr>
        <w:t>degumo klas</w:t>
      </w:r>
      <w:r w:rsidR="00EF3967" w:rsidRPr="00DE64C1">
        <w:rPr>
          <w:rFonts w:ascii="Arial" w:hAnsi="Arial" w:cs="Arial"/>
          <w:sz w:val="20"/>
          <w:szCs w:val="20"/>
          <w:lang w:val="lt-LT" w:eastAsia="lt-LT" w:bidi="ar-SA"/>
        </w:rPr>
        <w:t>ė</w:t>
      </w:r>
      <w:r w:rsidR="00126B04">
        <w:rPr>
          <w:rFonts w:ascii="Arial" w:hAnsi="Arial" w:cs="Arial"/>
          <w:sz w:val="20"/>
          <w:szCs w:val="20"/>
          <w:lang w:val="lt-LT" w:eastAsia="lt-LT" w:bidi="ar-SA"/>
        </w:rPr>
        <w:t>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126B04">
        <w:rPr>
          <w:rFonts w:ascii="Arial" w:hAnsi="Arial" w:cs="Arial"/>
          <w:sz w:val="20"/>
          <w:szCs w:val="20"/>
          <w:lang w:val="lt-LT" w:eastAsia="lt-LT" w:bidi="ar-SA"/>
        </w:rPr>
        <w:t>(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pagal </w:t>
      </w:r>
      <w:r w:rsidR="00EF3967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>
        <w:rPr>
          <w:rFonts w:ascii="Arial" w:hAnsi="Arial" w:cs="Arial"/>
          <w:sz w:val="20"/>
          <w:szCs w:val="20"/>
          <w:lang w:val="lt-LT" w:eastAsia="lt-LT" w:bidi="ar-SA"/>
        </w:rPr>
        <w:t>EN 1350-1</w:t>
      </w:r>
      <w:r w:rsidR="00126B04">
        <w:rPr>
          <w:rFonts w:ascii="Arial" w:hAnsi="Arial" w:cs="Arial"/>
          <w:sz w:val="20"/>
          <w:szCs w:val="20"/>
          <w:lang w:val="lt-LT" w:eastAsia="lt-LT" w:bidi="ar-SA"/>
        </w:rPr>
        <w:t>)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23298E89" w14:textId="6E22409C" w:rsidR="006839AD" w:rsidRDefault="006839AD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DC0A30">
        <w:rPr>
          <w:rFonts w:ascii="Arial" w:hAnsi="Arial" w:cs="Arial"/>
          <w:sz w:val="16"/>
          <w:szCs w:val="16"/>
          <w:lang w:val="lt-LT" w:eastAsia="lt-LT" w:bidi="ar-SA"/>
        </w:rPr>
        <w:br/>
      </w:r>
      <w:r w:rsidRPr="00DC0A30">
        <w:rPr>
          <w:rFonts w:ascii="Arial" w:hAnsi="Arial" w:cs="Arial"/>
          <w:sz w:val="20"/>
          <w:szCs w:val="20"/>
          <w:u w:val="single"/>
          <w:lang w:val="lt-LT" w:eastAsia="lt-LT" w:bidi="ar-SA"/>
        </w:rPr>
        <w:t>Izoliacinė medžiaga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- kelių sluoksnių, senėjimui ir vandeniui atsparios PE-X putos (vandens absorbcija &lt;1</w:t>
      </w:r>
      <w:r w:rsidRPr="00287501">
        <w:rPr>
          <w:rFonts w:ascii="Arial" w:hAnsi="Arial" w:cs="Arial"/>
          <w:sz w:val="20"/>
          <w:szCs w:val="20"/>
          <w:lang w:val="lt-LT" w:eastAsia="lt-LT" w:bidi="ar-SA"/>
        </w:rPr>
        <w:t xml:space="preserve">% pagal </w:t>
      </w:r>
      <w:r w:rsidR="00DE64C1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287501">
        <w:rPr>
          <w:rFonts w:ascii="Arial" w:hAnsi="Arial" w:cs="Arial"/>
          <w:sz w:val="20"/>
          <w:szCs w:val="20"/>
          <w:lang w:val="lt-LT" w:eastAsia="lt-LT" w:bidi="ar-SA"/>
        </w:rPr>
        <w:t>EN 489)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, neprarandančios elastingumo. Šilumos laidumo koef. </w:t>
      </w:r>
      <w:bookmarkStart w:id="2" w:name="_Hlk205971384"/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 w:rsidRPr="00287501"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1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0</w:t>
      </w:r>
      <w:bookmarkEnd w:id="2"/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 xml:space="preserve"> 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0,0</w:t>
      </w:r>
      <w:r>
        <w:rPr>
          <w:rFonts w:ascii="Arial" w:hAnsi="Arial" w:cs="Arial"/>
          <w:sz w:val="20"/>
          <w:szCs w:val="20"/>
          <w:lang w:val="lt-LT" w:eastAsia="lt-LT" w:bidi="ar-SA"/>
        </w:rPr>
        <w:t>37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W/m°C (DIN 52612). </w:t>
      </w:r>
    </w:p>
    <w:p w14:paraId="0C4DD96A" w14:textId="1F7C27DA" w:rsidR="006839AD" w:rsidRPr="00DC0A30" w:rsidRDefault="004F6BF1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6839AD"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6839AD"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6839AD">
        <w:rPr>
          <w:rFonts w:ascii="Arial" w:hAnsi="Arial" w:cs="Arial"/>
          <w:sz w:val="20"/>
          <w:szCs w:val="20"/>
          <w:lang w:val="lt-LT" w:eastAsia="lt-LT" w:bidi="ar-SA"/>
        </w:rPr>
        <w:t xml:space="preserve">(pagal </w:t>
      </w:r>
      <w:r w:rsidR="009D5089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="006839AD">
        <w:rPr>
          <w:rFonts w:ascii="Arial" w:hAnsi="Arial" w:cs="Arial"/>
          <w:sz w:val="20"/>
          <w:szCs w:val="20"/>
          <w:lang w:val="lt-LT" w:eastAsia="lt-LT" w:bidi="ar-SA"/>
        </w:rPr>
        <w:t>EN 1350-1)</w:t>
      </w:r>
      <w:r w:rsidR="006839AD" w:rsidRPr="00DC0A30">
        <w:rPr>
          <w:rFonts w:ascii="Arial" w:hAnsi="Arial" w:cs="Arial"/>
          <w:sz w:val="20"/>
          <w:szCs w:val="20"/>
          <w:lang w:val="lt-LT" w:eastAsia="lt-LT" w:bidi="ar-SA"/>
        </w:rPr>
        <w:t xml:space="preserve">.  </w:t>
      </w:r>
    </w:p>
    <w:p w14:paraId="219A8177" w14:textId="77777777" w:rsidR="006839AD" w:rsidRDefault="006839AD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A3221C">
        <w:rPr>
          <w:rFonts w:ascii="Arial" w:hAnsi="Arial" w:cs="Arial"/>
          <w:sz w:val="16"/>
          <w:szCs w:val="16"/>
          <w:lang w:val="lt-LT" w:eastAsia="lt-LT" w:bidi="ar-SA"/>
        </w:rPr>
        <w:br/>
      </w:r>
      <w:r w:rsidRPr="00A3221C">
        <w:rPr>
          <w:rFonts w:ascii="Arial" w:hAnsi="Arial" w:cs="Arial"/>
          <w:sz w:val="20"/>
          <w:szCs w:val="20"/>
          <w:u w:val="single"/>
          <w:lang w:val="lt-LT" w:eastAsia="lt-LT" w:bidi="ar-SA"/>
        </w:rPr>
        <w:t>Apsauginis vamzdis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-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gofruotas aukšto tankio </w:t>
      </w:r>
      <w:r>
        <w:rPr>
          <w:rFonts w:ascii="Arial" w:hAnsi="Arial" w:cs="Arial"/>
          <w:sz w:val="20"/>
          <w:szCs w:val="20"/>
          <w:lang w:val="lt-LT" w:eastAsia="lt-LT" w:bidi="ar-SA"/>
        </w:rPr>
        <w:t>958 kg/m2 (ISO 1183)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polietilen</w:t>
      </w:r>
      <w:r>
        <w:rPr>
          <w:rFonts w:ascii="Arial" w:hAnsi="Arial" w:cs="Arial"/>
          <w:sz w:val="20"/>
          <w:szCs w:val="20"/>
          <w:lang w:val="lt-LT" w:eastAsia="lt-LT" w:bidi="ar-SA"/>
        </w:rPr>
        <w:t>o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(HDPE)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apsauginis 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vamzdis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atsparus 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drėgm</w:t>
      </w:r>
      <w:r>
        <w:rPr>
          <w:rFonts w:ascii="Arial" w:hAnsi="Arial" w:cs="Arial"/>
          <w:sz w:val="20"/>
          <w:szCs w:val="20"/>
          <w:lang w:val="lt-LT" w:eastAsia="lt-LT" w:bidi="ar-SA"/>
        </w:rPr>
        <w:t>ei.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tatinė apkrova iki 60 t</w:t>
      </w:r>
      <w:r>
        <w:rPr>
          <w:rFonts w:ascii="Arial" w:hAnsi="Arial" w:cs="Arial"/>
          <w:sz w:val="20"/>
          <w:szCs w:val="20"/>
          <w:lang w:val="lt-LT" w:eastAsia="lt-LT" w:bidi="ar-SA"/>
        </w:rPr>
        <w:t>onų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Elastingumo modulis 1000 Mpa (ISO 527-2). </w:t>
      </w:r>
    </w:p>
    <w:p w14:paraId="3F65706C" w14:textId="31C5235B" w:rsidR="006839AD" w:rsidRDefault="00126B04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 xml:space="preserve">E </w:t>
      </w:r>
      <w:r w:rsidR="006839AD">
        <w:rPr>
          <w:rFonts w:ascii="Arial" w:hAnsi="Arial" w:cs="Arial"/>
          <w:sz w:val="20"/>
          <w:szCs w:val="20"/>
          <w:lang w:val="lt-LT" w:eastAsia="lt-LT" w:bidi="ar-SA"/>
        </w:rPr>
        <w:t xml:space="preserve">degumo klasės </w:t>
      </w:r>
      <w:r>
        <w:rPr>
          <w:rFonts w:ascii="Arial" w:hAnsi="Arial" w:cs="Arial"/>
          <w:sz w:val="20"/>
          <w:szCs w:val="20"/>
          <w:lang w:val="lt-LT" w:eastAsia="lt-LT" w:bidi="ar-SA"/>
        </w:rPr>
        <w:t>(</w:t>
      </w:r>
      <w:r w:rsidR="006839AD">
        <w:rPr>
          <w:rFonts w:ascii="Arial" w:hAnsi="Arial" w:cs="Arial"/>
          <w:sz w:val="20"/>
          <w:szCs w:val="20"/>
          <w:lang w:val="lt-LT" w:eastAsia="lt-LT" w:bidi="ar-SA"/>
        </w:rPr>
        <w:t xml:space="preserve">pagal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="006839AD">
        <w:rPr>
          <w:rFonts w:ascii="Arial" w:hAnsi="Arial" w:cs="Arial"/>
          <w:sz w:val="20"/>
          <w:szCs w:val="20"/>
          <w:lang w:val="lt-LT" w:eastAsia="lt-LT" w:bidi="ar-SA"/>
        </w:rPr>
        <w:t>EN 1350-1).</w:t>
      </w:r>
    </w:p>
    <w:p w14:paraId="3196AFEF" w14:textId="77777777" w:rsidR="006839AD" w:rsidRPr="00A3221C" w:rsidRDefault="006839AD" w:rsidP="006839AD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7CE82F59" w14:textId="77777777" w:rsidR="006839AD" w:rsidRDefault="006839AD" w:rsidP="006839AD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A3221C">
        <w:rPr>
          <w:rFonts w:ascii="Arial" w:hAnsi="Arial" w:cs="Arial"/>
          <w:sz w:val="20"/>
          <w:szCs w:val="20"/>
          <w:u w:val="single"/>
          <w:lang w:val="lt-LT" w:eastAsia="lt-LT" w:bidi="ar-SA"/>
        </w:rPr>
        <w:t>Elektros kabelis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-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 xml:space="preserve"> savireguliuojantis priklausomai nuo aplinkos temperatūros,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230V, </w:t>
      </w:r>
      <w:r w:rsidRPr="00D2319B">
        <w:rPr>
          <w:rFonts w:ascii="Arial" w:hAnsi="Arial" w:cs="Arial"/>
          <w:sz w:val="20"/>
          <w:szCs w:val="20"/>
          <w:lang w:val="lt-LT" w:eastAsia="lt-LT" w:bidi="ar-SA"/>
        </w:rPr>
        <w:t>galia 2-10 W/m</w:t>
      </w:r>
      <w:r>
        <w:rPr>
          <w:rFonts w:ascii="Arial" w:hAnsi="Arial" w:cs="Arial"/>
          <w:sz w:val="20"/>
          <w:szCs w:val="20"/>
          <w:lang w:val="lt-LT" w:eastAsia="lt-LT" w:bidi="ar-SA"/>
        </w:rPr>
        <w:t>, aplinkos temperatūra 65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>C nuolatinė, 85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>C momentinė; maksimalus ilgis 150 m.</w:t>
      </w:r>
    </w:p>
    <w:p w14:paraId="726D6D21" w14:textId="77777777" w:rsidR="006839AD" w:rsidRPr="00D93C03" w:rsidRDefault="006839AD" w:rsidP="006839AD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6B00784E" w14:textId="342DE61F" w:rsidR="006839AD" w:rsidRPr="00D2319B" w:rsidRDefault="006839AD" w:rsidP="006839AD">
      <w:pPr>
        <w:rPr>
          <w:rFonts w:ascii="Arial" w:hAnsi="Arial" w:cs="Arial"/>
          <w:i/>
          <w:color w:val="1F497D"/>
          <w:sz w:val="20"/>
          <w:szCs w:val="20"/>
        </w:rPr>
      </w:pPr>
      <w:proofErr w:type="spellStart"/>
      <w:r>
        <w:rPr>
          <w:rFonts w:ascii="Arial" w:hAnsi="Arial" w:cs="Arial"/>
          <w:i/>
          <w:color w:val="1F497D"/>
          <w:sz w:val="20"/>
          <w:szCs w:val="20"/>
        </w:rPr>
        <w:t>Ecoflex</w:t>
      </w:r>
      <w:proofErr w:type="spellEnd"/>
      <w:r>
        <w:rPr>
          <w:rFonts w:ascii="Arial" w:hAnsi="Arial" w:cs="Arial"/>
          <w:i/>
          <w:color w:val="1F497D"/>
          <w:sz w:val="20"/>
          <w:szCs w:val="20"/>
        </w:rPr>
        <w:t xml:space="preserve"> Supra </w:t>
      </w:r>
      <w:proofErr w:type="spellStart"/>
      <w:r>
        <w:rPr>
          <w:rFonts w:ascii="Arial" w:hAnsi="Arial" w:cs="Arial"/>
          <w:i/>
          <w:color w:val="1F497D"/>
          <w:sz w:val="20"/>
          <w:szCs w:val="20"/>
        </w:rPr>
        <w:t>Standart</w:t>
      </w:r>
      <w:proofErr w:type="spellEnd"/>
      <w:r>
        <w:rPr>
          <w:rFonts w:ascii="Arial" w:hAnsi="Arial" w:cs="Arial"/>
          <w:i/>
          <w:color w:val="1F497D"/>
          <w:sz w:val="20"/>
          <w:szCs w:val="20"/>
        </w:rPr>
        <w:t xml:space="preserve"> PLUS </w:t>
      </w:r>
      <w:proofErr w:type="spellStart"/>
      <w:r>
        <w:rPr>
          <w:rFonts w:ascii="Arial" w:hAnsi="Arial" w:cs="Arial"/>
          <w:i/>
          <w:color w:val="1F497D"/>
          <w:sz w:val="20"/>
          <w:szCs w:val="20"/>
        </w:rPr>
        <w:t>valdymo</w:t>
      </w:r>
      <w:proofErr w:type="spellEnd"/>
      <w:r>
        <w:rPr>
          <w:rFonts w:ascii="Arial" w:hAnsi="Arial" w:cs="Arial"/>
          <w:i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1F497D"/>
          <w:sz w:val="20"/>
          <w:szCs w:val="20"/>
        </w:rPr>
        <w:t>blokas</w:t>
      </w:r>
      <w:proofErr w:type="spellEnd"/>
      <w:r w:rsidR="00382C9B">
        <w:rPr>
          <w:rFonts w:ascii="Arial" w:hAnsi="Arial" w:cs="Arial"/>
          <w:i/>
          <w:color w:val="1F497D"/>
          <w:sz w:val="20"/>
          <w:szCs w:val="20"/>
        </w:rPr>
        <w:t>:</w:t>
      </w:r>
    </w:p>
    <w:p w14:paraId="0C144924" w14:textId="77777777" w:rsidR="006839AD" w:rsidRPr="00382C9B" w:rsidRDefault="006839AD" w:rsidP="006839AD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0146A6D9" w14:textId="77777777" w:rsidR="006839AD" w:rsidRDefault="006839AD" w:rsidP="006839AD">
      <w:pPr>
        <w:numPr>
          <w:ilvl w:val="0"/>
          <w:numId w:val="28"/>
        </w:num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kintamos 230V, galia 1500 W;</w:t>
      </w:r>
    </w:p>
    <w:p w14:paraId="0E7B923A" w14:textId="77777777" w:rsidR="006839AD" w:rsidRDefault="006839AD" w:rsidP="006839AD">
      <w:pPr>
        <w:numPr>
          <w:ilvl w:val="0"/>
          <w:numId w:val="28"/>
        </w:num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veikimo temperatūra -20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>C...+45</w:t>
      </w:r>
      <w:r w:rsidRPr="00DC0A30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C, korpuso apsaugos klasė IP23; </w:t>
      </w:r>
    </w:p>
    <w:p w14:paraId="35A561CF" w14:textId="77777777" w:rsidR="006839AD" w:rsidRPr="00D2319B" w:rsidRDefault="006839AD" w:rsidP="006839AD">
      <w:pPr>
        <w:numPr>
          <w:ilvl w:val="0"/>
          <w:numId w:val="28"/>
        </w:num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jutiklio kabelio ilgis 10 m.</w:t>
      </w:r>
    </w:p>
    <w:p w14:paraId="24A62405" w14:textId="77777777" w:rsidR="006839AD" w:rsidRPr="00D2319B" w:rsidRDefault="006839AD" w:rsidP="006839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14C09F7F" w14:textId="77777777" w:rsidR="006839AD" w:rsidRPr="008B3F62" w:rsidRDefault="006839AD" w:rsidP="006839AD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8B3F62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Uponor Supra vamzdžių jungtys</w:t>
      </w:r>
    </w:p>
    <w:p w14:paraId="3CB39025" w14:textId="77777777" w:rsidR="006839AD" w:rsidRPr="00D2319B" w:rsidRDefault="006839AD" w:rsidP="006839AD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4FADC072" w14:textId="508C2718" w:rsidR="006839AD" w:rsidRPr="00D2319B" w:rsidRDefault="006839AD" w:rsidP="006839AD">
      <w:pPr>
        <w:rPr>
          <w:rFonts w:ascii="Arial" w:eastAsia="Calibri" w:hAnsi="Arial" w:cs="Arial"/>
          <w:sz w:val="16"/>
          <w:szCs w:val="16"/>
          <w:lang w:val="lt-LT"/>
        </w:rPr>
      </w:pPr>
      <w:r w:rsidRPr="00D73352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PE vamzdžių jungtys </w:t>
      </w:r>
      <w:r w:rsidR="00DF71EF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su Uponor Supra vamzdžiais </w:t>
      </w:r>
      <w:r w:rsidRPr="00D73352">
        <w:rPr>
          <w:rFonts w:ascii="Arial" w:eastAsia="Calibri" w:hAnsi="Arial" w:cs="Arial"/>
          <w:color w:val="1F3864"/>
          <w:sz w:val="20"/>
          <w:szCs w:val="20"/>
          <w:lang w:val="lt-LT"/>
        </w:rPr>
        <w:t>sertifikuotos kaip vientisa sistema</w:t>
      </w:r>
      <w:r w:rsidRPr="00D2319B"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57BCA98F" w14:textId="77777777" w:rsidR="006839AD" w:rsidRPr="00A3221C" w:rsidRDefault="006839AD" w:rsidP="006839AD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C815F6D" w14:textId="77777777" w:rsidR="00382C9B" w:rsidRDefault="006839AD" w:rsidP="006839AD">
      <w:pPr>
        <w:rPr>
          <w:rFonts w:ascii="Arial" w:eastAsia="Calibri" w:hAnsi="Arial" w:cs="Arial"/>
          <w:sz w:val="20"/>
          <w:szCs w:val="20"/>
          <w:lang w:val="lt-LT"/>
        </w:rPr>
      </w:pPr>
      <w:r w:rsidRPr="00D2319B">
        <w:rPr>
          <w:rFonts w:ascii="Arial" w:eastAsia="Calibri" w:hAnsi="Arial" w:cs="Arial"/>
          <w:sz w:val="20"/>
          <w:szCs w:val="20"/>
          <w:lang w:val="lt-LT"/>
        </w:rPr>
        <w:t xml:space="preserve">Užveržiamos Wipex jungtys d25-110 pagamintos iš alavuoto žalvario, atitinka </w:t>
      </w:r>
      <w:r w:rsidR="00382C9B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D2319B">
        <w:rPr>
          <w:rFonts w:ascii="Arial" w:eastAsia="Calibri" w:hAnsi="Arial" w:cs="Arial"/>
          <w:sz w:val="20"/>
          <w:szCs w:val="20"/>
          <w:lang w:val="lt-LT"/>
        </w:rPr>
        <w:t xml:space="preserve">EN 10226-1. </w:t>
      </w:r>
    </w:p>
    <w:p w14:paraId="7BC1AC1C" w14:textId="7DE74650" w:rsidR="006839AD" w:rsidRPr="00D2319B" w:rsidRDefault="006839AD" w:rsidP="006839AD">
      <w:pPr>
        <w:rPr>
          <w:rFonts w:ascii="Arial" w:eastAsia="Calibri" w:hAnsi="Arial" w:cs="Arial"/>
          <w:sz w:val="20"/>
          <w:szCs w:val="20"/>
          <w:lang w:val="lt-LT"/>
        </w:rPr>
      </w:pPr>
      <w:r w:rsidRPr="00D2319B">
        <w:rPr>
          <w:rFonts w:ascii="Arial" w:eastAsia="Calibri" w:hAnsi="Arial" w:cs="Arial"/>
          <w:sz w:val="20"/>
          <w:szCs w:val="20"/>
          <w:lang w:val="lt-LT"/>
        </w:rPr>
        <w:t>Atliekamos be specialių įrankių, montuojant būtina atlikti vamzdžio vidinio briaunos nuėmimą.</w:t>
      </w:r>
    </w:p>
    <w:p w14:paraId="4FF4B438" w14:textId="77777777" w:rsidR="006839AD" w:rsidRDefault="006839AD" w:rsidP="006839AD">
      <w:pPr>
        <w:rPr>
          <w:rFonts w:ascii="Arial" w:eastAsia="Calibri" w:hAnsi="Arial" w:cs="Arial"/>
          <w:sz w:val="20"/>
          <w:szCs w:val="20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5942" w14:textId="77777777" w:rsidR="001B4E56" w:rsidRDefault="001B4E56" w:rsidP="00F42A76">
      <w:r>
        <w:separator/>
      </w:r>
    </w:p>
  </w:endnote>
  <w:endnote w:type="continuationSeparator" w:id="0">
    <w:p w14:paraId="12BBB4C9" w14:textId="77777777" w:rsidR="001B4E56" w:rsidRDefault="001B4E56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9D5089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9ECA" w14:textId="77777777" w:rsidR="001B4E56" w:rsidRDefault="001B4E56" w:rsidP="00F42A76">
      <w:r>
        <w:separator/>
      </w:r>
    </w:p>
  </w:footnote>
  <w:footnote w:type="continuationSeparator" w:id="0">
    <w:p w14:paraId="5B3F29F6" w14:textId="77777777" w:rsidR="001B4E56" w:rsidRDefault="001B4E56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9D5089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606F44B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9D5089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4731CCDF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D54A0"/>
    <w:multiLevelType w:val="hybridMultilevel"/>
    <w:tmpl w:val="2A20879E"/>
    <w:lvl w:ilvl="0" w:tplc="8A963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  <w:num w:numId="28" w16cid:durableId="13735320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0AA5"/>
    <w:rsid w:val="00054561"/>
    <w:rsid w:val="0005709C"/>
    <w:rsid w:val="0005787D"/>
    <w:rsid w:val="000605F5"/>
    <w:rsid w:val="000701E1"/>
    <w:rsid w:val="00070500"/>
    <w:rsid w:val="00071F56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26B04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4E56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D3CE4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2C9B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6348"/>
    <w:rsid w:val="004D7334"/>
    <w:rsid w:val="004E073B"/>
    <w:rsid w:val="004E210A"/>
    <w:rsid w:val="004E6768"/>
    <w:rsid w:val="004F6425"/>
    <w:rsid w:val="004F6BF1"/>
    <w:rsid w:val="0050113E"/>
    <w:rsid w:val="005012DA"/>
    <w:rsid w:val="00504487"/>
    <w:rsid w:val="005116F9"/>
    <w:rsid w:val="00511857"/>
    <w:rsid w:val="00511BC1"/>
    <w:rsid w:val="0051733C"/>
    <w:rsid w:val="00530305"/>
    <w:rsid w:val="0053134F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15E04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39AD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17DB5"/>
    <w:rsid w:val="00722603"/>
    <w:rsid w:val="00724971"/>
    <w:rsid w:val="00731B6C"/>
    <w:rsid w:val="00740C5F"/>
    <w:rsid w:val="00740D43"/>
    <w:rsid w:val="0074308D"/>
    <w:rsid w:val="00745282"/>
    <w:rsid w:val="00746144"/>
    <w:rsid w:val="00746B08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96F1F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D5089"/>
    <w:rsid w:val="009E0C5D"/>
    <w:rsid w:val="009E315F"/>
    <w:rsid w:val="009E70C1"/>
    <w:rsid w:val="009F0472"/>
    <w:rsid w:val="009F0674"/>
    <w:rsid w:val="009F0B43"/>
    <w:rsid w:val="009F369B"/>
    <w:rsid w:val="00A0546B"/>
    <w:rsid w:val="00A05A38"/>
    <w:rsid w:val="00A078B0"/>
    <w:rsid w:val="00A12281"/>
    <w:rsid w:val="00A13CC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25008"/>
    <w:rsid w:val="00B30380"/>
    <w:rsid w:val="00B32F19"/>
    <w:rsid w:val="00B35B4F"/>
    <w:rsid w:val="00B427FF"/>
    <w:rsid w:val="00B43A3A"/>
    <w:rsid w:val="00B44C1B"/>
    <w:rsid w:val="00B47491"/>
    <w:rsid w:val="00B551B1"/>
    <w:rsid w:val="00B56FCC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2253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3C03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D523A"/>
    <w:rsid w:val="00DE275D"/>
    <w:rsid w:val="00DE64C1"/>
    <w:rsid w:val="00DF1EA9"/>
    <w:rsid w:val="00DF71EF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23B9"/>
    <w:rsid w:val="00E76091"/>
    <w:rsid w:val="00E76CBD"/>
    <w:rsid w:val="00E92659"/>
    <w:rsid w:val="00EA2134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3967"/>
    <w:rsid w:val="00EF4A54"/>
    <w:rsid w:val="00EF7A4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A4C2A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76855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DD523A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26</cp:revision>
  <dcterms:created xsi:type="dcterms:W3CDTF">2026-03-20T08:29:00Z</dcterms:created>
  <dcterms:modified xsi:type="dcterms:W3CDTF">2026-03-20T09:00:00Z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