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5D1F" w14:textId="3691E48E" w:rsidR="007715B6" w:rsidRPr="00E717D0" w:rsidRDefault="007715B6" w:rsidP="00281249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E717D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281249">
        <w:rPr>
          <w:rFonts w:ascii="Arial" w:eastAsia="Calibri" w:hAnsi="Arial" w:cs="Arial"/>
          <w:b/>
          <w:i/>
          <w:color w:val="1F497D"/>
          <w:lang w:val="lt-LT"/>
        </w:rPr>
        <w:t>santechniniai sprendimai</w:t>
      </w:r>
    </w:p>
    <w:p w14:paraId="1E246061" w14:textId="77777777" w:rsidR="007715B6" w:rsidRPr="005E1C4C" w:rsidRDefault="007715B6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4923536" w14:textId="2E9FE6EC" w:rsidR="007715B6" w:rsidRDefault="007715B6" w:rsidP="007715B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Aqua Pipe </w:t>
      </w:r>
      <w:r w:rsidR="00281249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PE-Xa</w:t>
      </w:r>
      <w:r w:rsidR="00281249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vamzdžiai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PN10 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d16-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63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16x2,2; 20x2,8; 25x3,5; 32x4,4; 40x5,5; 50x6,9; 63x8,6 </w:t>
      </w:r>
    </w:p>
    <w:p w14:paraId="28105FDD" w14:textId="69E6A3B1" w:rsidR="007715B6" w:rsidRDefault="007715B6" w:rsidP="007715B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šalto ir karšto vandentiekio sprendimams</w:t>
      </w:r>
      <w:r w:rsidR="00281249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</w:t>
      </w:r>
      <w:r w:rsidR="00281249" w:rsidRPr="00281249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 w:rsidR="00281249"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ritėse</w:t>
      </w:r>
    </w:p>
    <w:p w14:paraId="173A75E2" w14:textId="77777777" w:rsidR="007715B6" w:rsidRPr="000415E8" w:rsidRDefault="007715B6" w:rsidP="007715B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38C9155A" w14:textId="77777777" w:rsidR="007715B6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Aqua Pipe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PE-Xa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vamzdžiai yra modifikuoto aukšto tankio polietileno (gaminami Engelio būdu - </w:t>
      </w:r>
      <w:r w:rsidRPr="005E1C4C">
        <w:rPr>
          <w:rFonts w:ascii="Arial" w:hAnsi="Arial" w:cs="Arial"/>
          <w:sz w:val="20"/>
          <w:szCs w:val="20"/>
          <w:lang w:val="lt-LT"/>
        </w:rPr>
        <w:t xml:space="preserve">modifikacijos laipsnis </w:t>
      </w:r>
      <w:r>
        <w:rPr>
          <w:rFonts w:ascii="Arial" w:hAnsi="Arial" w:cs="Arial"/>
          <w:sz w:val="20"/>
          <w:szCs w:val="20"/>
          <w:lang w:val="lt-LT"/>
        </w:rPr>
        <w:t>&gt;</w:t>
      </w:r>
      <w:r w:rsidRPr="005E1C4C">
        <w:rPr>
          <w:rFonts w:ascii="Arial" w:hAnsi="Arial" w:cs="Arial"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/>
        </w:rPr>
        <w:t>7</w:t>
      </w:r>
      <w:r w:rsidRPr="005E1C4C">
        <w:rPr>
          <w:rFonts w:ascii="Arial" w:hAnsi="Arial" w:cs="Arial"/>
          <w:sz w:val="20"/>
          <w:szCs w:val="20"/>
          <w:lang w:val="lt-LT"/>
        </w:rPr>
        <w:t xml:space="preserve">0 %)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skirti vandentiekio sistemoms. </w:t>
      </w:r>
    </w:p>
    <w:p w14:paraId="0F04B509" w14:textId="35B8FC0C" w:rsidR="007715B6" w:rsidRPr="0089357D" w:rsidRDefault="007715B6" w:rsidP="007715B6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Atitinka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2-ą 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panaudojimo klas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ę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-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k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aršto vandens tiekimas (70°C), maksimali 95°C, eksploatacijos laikui &gt; 50 metų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pagal s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tandartą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EN ISO 15875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-2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„Pastatų karšto ir šalto vandens plastikinių PE-X vamzdynų sistemos“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ir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 w:rsidRPr="007715B6">
        <w:rPr>
          <w:rFonts w:ascii="Arial" w:eastAsia="Calibri" w:hAnsi="Arial" w:cs="Arial"/>
          <w:color w:val="2F5496"/>
          <w:sz w:val="20"/>
          <w:szCs w:val="20"/>
          <w:highlight w:val="lightGray"/>
          <w:lang w:val="lt-LT"/>
        </w:rPr>
        <w:t>PN10 (10 bar.)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s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lėgio klas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ę (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>serijos S3.2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).</w:t>
      </w:r>
      <w:r w:rsidRPr="008935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</w:p>
    <w:p w14:paraId="4486838F" w14:textId="77777777" w:rsidR="007715B6" w:rsidRPr="002A53EC" w:rsidRDefault="007715B6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38BA52AA" w14:textId="77777777" w:rsidR="00DB411E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P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lėtimosi koef</w:t>
      </w:r>
      <w:r w:rsidR="00444A20">
        <w:rPr>
          <w:rFonts w:ascii="Arial" w:eastAsia="Calibri" w:hAnsi="Arial" w:cs="Arial"/>
          <w:sz w:val="20"/>
          <w:szCs w:val="20"/>
          <w:lang w:val="lt-LT"/>
        </w:rPr>
        <w:t>.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0,00014 (20°C) m/mxK, šilumos laidum</w:t>
      </w:r>
      <w:r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0,35 W/mxK, šiurkštumas 0,0005 mm. </w:t>
      </w:r>
    </w:p>
    <w:p w14:paraId="7771DE69" w14:textId="3A7A8454" w:rsidR="007715B6" w:rsidRPr="005E1C4C" w:rsidRDefault="00DB411E" w:rsidP="007715B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E</w:t>
      </w:r>
      <w:r w:rsidR="007715B6" w:rsidRPr="005E1C4C">
        <w:rPr>
          <w:rFonts w:ascii="Arial" w:eastAsia="Calibri" w:hAnsi="Arial" w:cs="Arial"/>
          <w:sz w:val="20"/>
          <w:szCs w:val="20"/>
          <w:lang w:val="lt-LT"/>
        </w:rPr>
        <w:t xml:space="preserve"> 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7715B6" w:rsidRPr="005E1C4C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5A5B75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7715B6" w:rsidRPr="005E1C4C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39AFC99A" w14:textId="77777777" w:rsidR="00612CA3" w:rsidRPr="00612CA3" w:rsidRDefault="00612CA3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9BE90C3" w14:textId="77777777" w:rsidR="00444A20" w:rsidRDefault="00DD7418" w:rsidP="00612CA3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Vamzdžiai ir jungtys </w:t>
      </w:r>
      <w:r w:rsidR="004C6EF5">
        <w:rPr>
          <w:rFonts w:ascii="Arial" w:eastAsia="Calibri" w:hAnsi="Arial" w:cs="Arial"/>
          <w:sz w:val="20"/>
          <w:szCs w:val="20"/>
          <w:lang w:val="lt-LT"/>
        </w:rPr>
        <w:t xml:space="preserve">tinka vandentiekio sistemoms </w:t>
      </w:r>
      <w:r w:rsidR="00612CA3" w:rsidRPr="005E1C4C">
        <w:rPr>
          <w:rFonts w:ascii="Arial" w:eastAsia="Calibri" w:hAnsi="Arial" w:cs="Arial"/>
          <w:sz w:val="20"/>
          <w:szCs w:val="20"/>
          <w:lang w:val="lt-LT"/>
        </w:rPr>
        <w:t>(DWGV sertifikata</w:t>
      </w:r>
      <w:r w:rsidR="004C6EF5">
        <w:rPr>
          <w:rFonts w:ascii="Arial" w:eastAsia="Calibri" w:hAnsi="Arial" w:cs="Arial"/>
          <w:sz w:val="20"/>
          <w:szCs w:val="20"/>
          <w:lang w:val="lt-LT"/>
        </w:rPr>
        <w:t>i</w:t>
      </w:r>
      <w:r w:rsidR="00612CA3" w:rsidRPr="005E1C4C">
        <w:rPr>
          <w:rFonts w:ascii="Arial" w:eastAsia="Calibri" w:hAnsi="Arial" w:cs="Arial"/>
          <w:sz w:val="20"/>
          <w:szCs w:val="20"/>
          <w:lang w:val="lt-LT"/>
        </w:rPr>
        <w:t>).</w:t>
      </w:r>
    </w:p>
    <w:p w14:paraId="179FAC6B" w14:textId="61C8C4C7" w:rsidR="00612CA3" w:rsidRDefault="00444A20" w:rsidP="00612CA3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Vamzdžiai suderinti su Q&amp;E jungtimis.</w:t>
      </w:r>
      <w:r w:rsidR="00612CA3" w:rsidRPr="005E1C4C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7AB5D8B8" w14:textId="77777777" w:rsidR="00724C1D" w:rsidRPr="00724C1D" w:rsidRDefault="00724C1D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A6259E4" w14:textId="1BA80741" w:rsidR="00724C1D" w:rsidRPr="009D7AA7" w:rsidRDefault="00724C1D" w:rsidP="00724C1D">
      <w:pPr>
        <w:rPr>
          <w:rFonts w:ascii="Arial" w:hAnsi="Arial" w:cs="Arial"/>
          <w:sz w:val="20"/>
          <w:szCs w:val="20"/>
        </w:rPr>
      </w:pPr>
      <w:r w:rsidRPr="007715B6">
        <w:rPr>
          <w:rFonts w:ascii="Arial" w:eastAsia="Calibri" w:hAnsi="Arial" w:cs="Arial"/>
          <w:sz w:val="20"/>
          <w:szCs w:val="20"/>
          <w:highlight w:val="lightGray"/>
          <w:lang w:val="lt-LT"/>
        </w:rPr>
        <w:t>Uponor Aqua Pipe vamzdži</w:t>
      </w:r>
      <w:r>
        <w:rPr>
          <w:rFonts w:ascii="Arial" w:eastAsia="Calibri" w:hAnsi="Arial" w:cs="Arial"/>
          <w:sz w:val="20"/>
          <w:szCs w:val="20"/>
          <w:highlight w:val="lightGray"/>
          <w:lang w:val="lt-LT"/>
        </w:rPr>
        <w:t>ų</w:t>
      </w:r>
      <w:r w:rsidRPr="007715B6">
        <w:rPr>
          <w:rFonts w:ascii="Arial" w:eastAsia="Calibri" w:hAnsi="Arial" w:cs="Arial"/>
          <w:sz w:val="20"/>
          <w:szCs w:val="20"/>
          <w:highlight w:val="lightGray"/>
          <w:lang w:val="lt-LT"/>
        </w:rPr>
        <w:t xml:space="preserve"> p</w:t>
      </w:r>
      <w:r w:rsidRPr="007715B6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rodukto poveikio aplinkai deklaracija</w:t>
      </w:r>
      <w:r w:rsidRPr="007715B6">
        <w:rPr>
          <w:rFonts w:ascii="Arial" w:eastAsia="Calibri" w:hAnsi="Arial" w:cs="Arial"/>
          <w:sz w:val="20"/>
          <w:szCs w:val="20"/>
          <w:highlight w:val="lightGray"/>
          <w:lang w:val="lt-LT"/>
        </w:rPr>
        <w:t xml:space="preserve"> (EPD</w:t>
      </w:r>
      <w:r w:rsidRPr="007715B6">
        <w:rPr>
          <w:rFonts w:ascii="Arial" w:hAnsi="Arial" w:cs="Arial"/>
          <w:sz w:val="20"/>
          <w:szCs w:val="20"/>
          <w:highlight w:val="lightGray"/>
        </w:rPr>
        <w:t xml:space="preserve">) pagal EN 15804+A2 &amp; ISO 14025 /ISO 21930 (HUB-0066). </w:t>
      </w:r>
      <w:r w:rsidRPr="007715B6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EPD suteikia </w:t>
      </w:r>
      <w:r w:rsidR="004A162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papildomų </w:t>
      </w:r>
      <w:r w:rsidRPr="007715B6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kreditų sertifik</w:t>
      </w:r>
      <w:r w:rsidR="004A1629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uojant pastatus pagal</w:t>
      </w:r>
      <w:r w:rsidRPr="007715B6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BREEAM ir EED.</w:t>
      </w:r>
    </w:p>
    <w:p w14:paraId="3D7298D6" w14:textId="77777777" w:rsidR="00724C1D" w:rsidRPr="005E1C4C" w:rsidRDefault="00724C1D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3118"/>
      </w:tblGrid>
      <w:tr w:rsidR="007715B6" w:rsidRPr="005E1C4C" w14:paraId="2977B467" w14:textId="77777777" w:rsidTr="00036390">
        <w:trPr>
          <w:trHeight w:val="28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0919" w14:textId="77777777" w:rsidR="002E7F61" w:rsidRPr="002E7F61" w:rsidRDefault="002E7F61" w:rsidP="002E7F61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 w:rsidRPr="002E7F61"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Vamzdžių montavimas:</w:t>
            </w:r>
          </w:p>
          <w:p w14:paraId="16E4B4AD" w14:textId="1D258D7D" w:rsidR="00874B83" w:rsidRDefault="00874B83" w:rsidP="00036390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 w:rsidRPr="00874B83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Rekomenduojama montavimo temperatūra &gt; 0°C, leidžiama minimali iki -15°C, saugoti nuo UV poveikio.</w:t>
            </w:r>
          </w:p>
          <w:p w14:paraId="5CB61C4A" w14:textId="067D7B02" w:rsidR="002A53EC" w:rsidRDefault="007715B6" w:rsidP="00036390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 w:rsidRPr="002E7F61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Rekomenduojami maksimalūs atstumai tarp tvirtinimo taškų horizontaliems vamzdžiams, mm</w:t>
            </w:r>
            <w:r w:rsidR="002E7F61" w:rsidRPr="002E7F61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:</w:t>
            </w:r>
          </w:p>
          <w:p w14:paraId="0AB826CB" w14:textId="77777777" w:rsidR="00444A20" w:rsidRPr="002A53EC" w:rsidRDefault="00444A20" w:rsidP="00036390">
            <w:pPr>
              <w:rPr>
                <w:rFonts w:ascii="Arial" w:hAnsi="Arial" w:cs="Arial"/>
                <w:color w:val="2F5496"/>
                <w:sz w:val="16"/>
                <w:szCs w:val="16"/>
                <w:lang w:val="lt-LT" w:eastAsia="lt-LT" w:bidi="ar-SA"/>
              </w:rPr>
            </w:pPr>
          </w:p>
          <w:p w14:paraId="330D8A19" w14:textId="77777777" w:rsidR="005A5B75" w:rsidRPr="005A5B75" w:rsidRDefault="005A5B75" w:rsidP="00036390">
            <w:pPr>
              <w:rPr>
                <w:rFonts w:ascii="Arial" w:hAnsi="Arial" w:cs="Arial"/>
                <w:color w:val="2F5496"/>
                <w:sz w:val="16"/>
                <w:szCs w:val="16"/>
                <w:lang w:val="lt-LT" w:eastAsia="lt-LT" w:bidi="ar-SA"/>
              </w:rPr>
            </w:pPr>
          </w:p>
        </w:tc>
      </w:tr>
      <w:tr w:rsidR="007715B6" w:rsidRPr="005E1C4C" w14:paraId="5A256C02" w14:textId="77777777" w:rsidTr="00036390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50ACA8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vamzdžių diametrai,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FC8FAE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šaltas vanduo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2100B8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karštas vanduo</w:t>
            </w:r>
          </w:p>
        </w:tc>
      </w:tr>
      <w:tr w:rsidR="007715B6" w:rsidRPr="005E1C4C" w14:paraId="6154E03F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6868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de ≤ 16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5C42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750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4133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400</w:t>
            </w:r>
          </w:p>
        </w:tc>
      </w:tr>
      <w:tr w:rsidR="007715B6" w:rsidRPr="005E1C4C" w14:paraId="06AA1D63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BCDD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16 &lt; de ≤ 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2254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EBA0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500</w:t>
            </w:r>
          </w:p>
        </w:tc>
      </w:tr>
      <w:tr w:rsidR="007715B6" w:rsidRPr="005E1C4C" w14:paraId="19370116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4A6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20 &lt; de ≤ 25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CB4D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F807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600</w:t>
            </w:r>
          </w:p>
        </w:tc>
      </w:tr>
      <w:tr w:rsidR="007715B6" w:rsidRPr="005E1C4C" w14:paraId="66F5E250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599E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25 &lt; de ≤ 32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FE2D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073F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650</w:t>
            </w:r>
          </w:p>
        </w:tc>
      </w:tr>
      <w:tr w:rsidR="007715B6" w:rsidRPr="005E1C4C" w14:paraId="75D30E8A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FC85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32 &lt; de ≤ 40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2B8C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5A4C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800</w:t>
            </w:r>
          </w:p>
        </w:tc>
      </w:tr>
      <w:tr w:rsidR="007715B6" w:rsidRPr="005E1C4C" w14:paraId="535D3D03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CAEE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40 &lt; de ≤ 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DD9C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78A5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1000</w:t>
            </w:r>
          </w:p>
        </w:tc>
      </w:tr>
      <w:tr w:rsidR="007715B6" w:rsidRPr="005E1C4C" w14:paraId="3D8403D9" w14:textId="77777777" w:rsidTr="0003639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8B95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50 &lt; de ≤ 63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B7C2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6525" w14:textId="77777777" w:rsidR="007715B6" w:rsidRPr="005E1C4C" w:rsidRDefault="007715B6" w:rsidP="000363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1200</w:t>
            </w:r>
          </w:p>
        </w:tc>
      </w:tr>
      <w:tr w:rsidR="007715B6" w:rsidRPr="005E1C4C" w14:paraId="4D2CD920" w14:textId="77777777" w:rsidTr="00036390">
        <w:trPr>
          <w:trHeight w:val="288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79A5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Vertikaliems vamzdžiams atstum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ai x</w:t>
            </w:r>
            <w:r w:rsidRPr="005E1C4C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1,3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724E" w14:textId="77777777" w:rsidR="007715B6" w:rsidRPr="005E1C4C" w:rsidRDefault="007715B6" w:rsidP="0003639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</w:tr>
    </w:tbl>
    <w:p w14:paraId="4C9282B5" w14:textId="77777777" w:rsidR="007715B6" w:rsidRPr="005E1C4C" w:rsidRDefault="007715B6" w:rsidP="007715B6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2BAD2AAE" w14:textId="10864559" w:rsidR="007715B6" w:rsidRDefault="007715B6" w:rsidP="007715B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Šarva</w:t>
      </w:r>
      <w:r w:rsidR="00444A2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i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25/20, 28/23, 35/29, 43/36, 54/48 vamzdžiams d16-40</w:t>
      </w:r>
      <w:r w:rsidR="00444A2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ritėse </w:t>
      </w:r>
    </w:p>
    <w:p w14:paraId="2D4B0F48" w14:textId="77777777" w:rsidR="007715B6" w:rsidRPr="000415E8" w:rsidRDefault="007715B6" w:rsidP="007715B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33960E3B" w14:textId="0D59396A" w:rsidR="007715B6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>Gofruot</w:t>
      </w:r>
      <w:r w:rsidR="00444A20"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, pagamint</w:t>
      </w:r>
      <w:r w:rsidR="00444A20"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iš aukšto tankio polietileno (HDPE), naudojam</w:t>
      </w:r>
      <w:r w:rsidR="00444A20">
        <w:rPr>
          <w:rFonts w:ascii="Arial" w:eastAsia="Calibri" w:hAnsi="Arial" w:cs="Arial"/>
          <w:sz w:val="20"/>
          <w:szCs w:val="20"/>
          <w:lang w:val="lt-LT"/>
        </w:rPr>
        <w:t>i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vamzdžių montavimui konstrukcijose ir vamzdžių apsaugai nuo mechaninių pažeidimų, atsparumas gniuždymui 250N (pagal NT VVS 129). Kolektorinėse sistemose šarvas atlieka pratekėjimo diagnostikos funkciją ir suteikia galimybę elastingus PE-Xa vamzdžius pakeisti neardant konstrukcijų. Paskirstomuose d16-25 vamzdynuose kai jie yra šildomose patalpose to pačio vartotojo atlieka ir pakankamos šiluminės izoliacijos funkciją. </w:t>
      </w:r>
    </w:p>
    <w:p w14:paraId="1EACB571" w14:textId="50CE8430" w:rsidR="007715B6" w:rsidRPr="005E1C4C" w:rsidRDefault="006523B5" w:rsidP="007715B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E </w:t>
      </w:r>
      <w:r w:rsidR="007715B6" w:rsidRPr="005E1C4C">
        <w:rPr>
          <w:rFonts w:ascii="Arial" w:eastAsia="Calibri" w:hAnsi="Arial" w:cs="Arial"/>
          <w:sz w:val="20"/>
          <w:szCs w:val="20"/>
          <w:lang w:val="lt-LT"/>
        </w:rPr>
        <w:t>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7715B6" w:rsidRPr="005E1C4C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5A5B75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7715B6" w:rsidRPr="005E1C4C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62B978E1" w14:textId="77777777" w:rsidR="007715B6" w:rsidRPr="005E1C4C" w:rsidRDefault="007715B6" w:rsidP="007715B6">
      <w:pPr>
        <w:rPr>
          <w:rFonts w:ascii="Arial" w:eastAsia="Calibri" w:hAnsi="Arial" w:cs="Arial"/>
          <w:b/>
          <w:sz w:val="16"/>
          <w:szCs w:val="16"/>
          <w:lang w:val="lt-LT"/>
        </w:rPr>
      </w:pPr>
    </w:p>
    <w:p w14:paraId="005F3EDC" w14:textId="77777777" w:rsidR="007715B6" w:rsidRDefault="007715B6" w:rsidP="007715B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PE-Xa v</w:t>
      </w:r>
      <w:r w:rsidRPr="00E717D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amzdžių jungtys</w:t>
      </w:r>
    </w:p>
    <w:p w14:paraId="60FB3FB5" w14:textId="77777777" w:rsidR="007715B6" w:rsidRPr="002A53EC" w:rsidRDefault="007715B6" w:rsidP="007715B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21C7EF07" w14:textId="4BACAB94" w:rsidR="007715B6" w:rsidRPr="005E1C4C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0415E8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PE-Xa vamzdžių jungtys </w:t>
      </w:r>
      <w:r w:rsidRPr="000415E8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vamzdžių gamintojo sertifikuotos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su vamzdžiais </w:t>
      </w:r>
      <w:r w:rsidRPr="000415E8">
        <w:rPr>
          <w:rFonts w:ascii="Arial" w:eastAsia="Calibri" w:hAnsi="Arial" w:cs="Arial"/>
          <w:color w:val="2F5496"/>
          <w:sz w:val="20"/>
          <w:szCs w:val="20"/>
          <w:lang w:val="lt-LT"/>
        </w:rPr>
        <w:t>kaip vientisa sistema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pagal </w:t>
      </w:r>
      <w:r w:rsidR="005A5B75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EN ISO 15875-5 ir </w:t>
      </w:r>
      <w:r w:rsidR="005A5B75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EN ISO 15875-7</w:t>
      </w:r>
      <w:r w:rsidRPr="000415E8">
        <w:rPr>
          <w:rFonts w:ascii="Arial" w:eastAsia="Calibri" w:hAnsi="Arial" w:cs="Arial"/>
          <w:color w:val="2F5496"/>
          <w:sz w:val="20"/>
          <w:szCs w:val="20"/>
          <w:lang w:val="lt-LT"/>
        </w:rPr>
        <w:t>.</w:t>
      </w:r>
      <w:r w:rsidRPr="000415E8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</w:t>
      </w:r>
      <w:r w:rsidR="005A5B75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EN ISO 15875</w:t>
      </w:r>
      <w:r>
        <w:rPr>
          <w:rFonts w:ascii="Arial" w:eastAsia="Calibri" w:hAnsi="Arial" w:cs="Arial"/>
          <w:sz w:val="20"/>
          <w:szCs w:val="20"/>
          <w:lang w:val="lt-LT"/>
        </w:rPr>
        <w:t>-3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2-ą panaudojimo klasę ir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PN10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slėgio klas</w:t>
      </w:r>
      <w:r>
        <w:rPr>
          <w:rFonts w:ascii="Arial" w:eastAsia="Calibri" w:hAnsi="Arial" w:cs="Arial"/>
          <w:sz w:val="20"/>
          <w:szCs w:val="20"/>
          <w:lang w:val="lt-LT"/>
        </w:rPr>
        <w:t>ę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. </w:t>
      </w:r>
    </w:p>
    <w:p w14:paraId="0E29B377" w14:textId="77777777" w:rsidR="007715B6" w:rsidRPr="005E1C4C" w:rsidRDefault="007715B6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0D6A07D" w14:textId="423DE24D" w:rsidR="007715B6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>Q&amp;E jungtys d16-</w:t>
      </w:r>
      <w:r>
        <w:rPr>
          <w:rFonts w:ascii="Arial" w:eastAsia="Calibri" w:hAnsi="Arial" w:cs="Arial"/>
          <w:sz w:val="20"/>
          <w:szCs w:val="20"/>
          <w:lang w:val="lt-LT"/>
        </w:rPr>
        <w:t>63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(savaime užsitraukiančios po išplėtimo) priskiriamos neardomų jungčių tipui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-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1EC1051F" w14:textId="77777777" w:rsidR="005A5B75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Q&amp;E metalinės jungtys pagamintos iš DR žalvario, atitinka </w:t>
      </w:r>
      <w:r w:rsidR="005A5B75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EN 10226-1 ir </w:t>
      </w:r>
      <w:r w:rsidR="005A5B75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EN ISO 228-1. </w:t>
      </w:r>
    </w:p>
    <w:p w14:paraId="74D7C774" w14:textId="3EF02B7C" w:rsidR="007715B6" w:rsidRPr="005E1C4C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Metalines jungtis </w:t>
      </w:r>
      <w:r>
        <w:rPr>
          <w:rFonts w:ascii="Arial" w:eastAsia="Calibri" w:hAnsi="Arial" w:cs="Arial"/>
          <w:sz w:val="20"/>
          <w:szCs w:val="20"/>
          <w:lang w:val="lt-LT"/>
        </w:rPr>
        <w:t>būtina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izoliuoti nuo išorinės korozijos.</w:t>
      </w:r>
    </w:p>
    <w:p w14:paraId="150BAAA6" w14:textId="77777777" w:rsidR="007715B6" w:rsidRPr="005E1C4C" w:rsidRDefault="007715B6" w:rsidP="007715B6">
      <w:pPr>
        <w:rPr>
          <w:rFonts w:ascii="Arial" w:eastAsia="Calibri" w:hAnsi="Arial" w:cs="Arial"/>
          <w:sz w:val="16"/>
          <w:szCs w:val="16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Q&amp;E plastikinės jungtys pagamintos iš plastiko polifenilsulfono (PPSU). Plastikinės jungtys nedaro jokio poveikio vandens kokybei, rekomenduojamos vandentiekio sistemose dėl higieninių reikalavimų. </w:t>
      </w:r>
    </w:p>
    <w:p w14:paraId="2ACA97ED" w14:textId="77777777" w:rsidR="005A5B75" w:rsidRPr="002A53EC" w:rsidRDefault="005A5B75" w:rsidP="007715B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B9E5F5E" w14:textId="0C4806E9" w:rsidR="007715B6" w:rsidRPr="005E1C4C" w:rsidRDefault="007715B6" w:rsidP="007715B6">
      <w:pPr>
        <w:rPr>
          <w:rFonts w:ascii="Arial" w:eastAsia="Calibri" w:hAnsi="Arial" w:cs="Arial"/>
          <w:sz w:val="20"/>
          <w:szCs w:val="20"/>
          <w:lang w:val="lt-LT"/>
        </w:rPr>
      </w:pPr>
      <w:r w:rsidRPr="005E1C4C">
        <w:rPr>
          <w:rFonts w:ascii="Arial" w:eastAsia="Calibri" w:hAnsi="Arial" w:cs="Arial"/>
          <w:sz w:val="20"/>
          <w:szCs w:val="20"/>
          <w:lang w:val="lt-LT"/>
        </w:rPr>
        <w:t>Užveržiamos Wipex jungtys d25-</w:t>
      </w:r>
      <w:r>
        <w:rPr>
          <w:rFonts w:ascii="Arial" w:eastAsia="Calibri" w:hAnsi="Arial" w:cs="Arial"/>
          <w:sz w:val="20"/>
          <w:szCs w:val="20"/>
          <w:lang w:val="lt-LT"/>
        </w:rPr>
        <w:t>63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PN10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 xml:space="preserve">pagamintos iš alavuoto žalvario, atitinka </w:t>
      </w:r>
      <w:r w:rsidR="002A53EC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5E1C4C">
        <w:rPr>
          <w:rFonts w:ascii="Arial" w:eastAsia="Calibri" w:hAnsi="Arial" w:cs="Arial"/>
          <w:sz w:val="20"/>
          <w:szCs w:val="20"/>
          <w:lang w:val="lt-LT"/>
        </w:rPr>
        <w:t>EN 10226-1. Atliekamos be specialių įrankių, montuojant būtina atlikti vamzdžio vidinio briaunos nuėmimą.</w:t>
      </w:r>
    </w:p>
    <w:p w14:paraId="06FA238C" w14:textId="516B0517" w:rsidR="00E23D0E" w:rsidRPr="007715B6" w:rsidRDefault="00E23D0E" w:rsidP="00021C86">
      <w:pPr>
        <w:rPr>
          <w:lang w:val="lt-LT"/>
        </w:rPr>
      </w:pPr>
    </w:p>
    <w:sectPr w:rsidR="00E23D0E" w:rsidRPr="007715B6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D9B7" w14:textId="77777777" w:rsidR="00E41FAC" w:rsidRDefault="00E41FAC" w:rsidP="00F42A76">
      <w:r>
        <w:separator/>
      </w:r>
    </w:p>
  </w:endnote>
  <w:endnote w:type="continuationSeparator" w:id="0">
    <w:p w14:paraId="1132744B" w14:textId="77777777" w:rsidR="00E41FAC" w:rsidRDefault="00E41FAC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8C16C4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113B" w14:textId="77777777" w:rsidR="00E41FAC" w:rsidRDefault="00E41FAC" w:rsidP="00F42A76">
      <w:r>
        <w:separator/>
      </w:r>
    </w:p>
  </w:footnote>
  <w:footnote w:type="continuationSeparator" w:id="0">
    <w:p w14:paraId="336D122F" w14:textId="77777777" w:rsidR="00E41FAC" w:rsidRDefault="00E41FAC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8C16C4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6799B23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8C16C4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7B8F26B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2FB1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249"/>
    <w:rsid w:val="00281809"/>
    <w:rsid w:val="00284D87"/>
    <w:rsid w:val="00285DAE"/>
    <w:rsid w:val="002879A4"/>
    <w:rsid w:val="00290F2B"/>
    <w:rsid w:val="002951F6"/>
    <w:rsid w:val="002A490A"/>
    <w:rsid w:val="002A53EC"/>
    <w:rsid w:val="002B3674"/>
    <w:rsid w:val="002B3DAD"/>
    <w:rsid w:val="002B7C41"/>
    <w:rsid w:val="002C59D7"/>
    <w:rsid w:val="002E032C"/>
    <w:rsid w:val="002E7F61"/>
    <w:rsid w:val="002F5D30"/>
    <w:rsid w:val="002F5D3C"/>
    <w:rsid w:val="002F682E"/>
    <w:rsid w:val="00303881"/>
    <w:rsid w:val="003110C6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4A20"/>
    <w:rsid w:val="0044524A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1629"/>
    <w:rsid w:val="004A38A8"/>
    <w:rsid w:val="004B047B"/>
    <w:rsid w:val="004B2B17"/>
    <w:rsid w:val="004B3011"/>
    <w:rsid w:val="004B75A8"/>
    <w:rsid w:val="004C6EDB"/>
    <w:rsid w:val="004C6EF5"/>
    <w:rsid w:val="004D0342"/>
    <w:rsid w:val="004D5F06"/>
    <w:rsid w:val="004D7334"/>
    <w:rsid w:val="004E073B"/>
    <w:rsid w:val="004E210A"/>
    <w:rsid w:val="004E3C50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A5B75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2CA3"/>
    <w:rsid w:val="00613791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3B5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4455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24C1D"/>
    <w:rsid w:val="00731B6C"/>
    <w:rsid w:val="00740C5F"/>
    <w:rsid w:val="00740D43"/>
    <w:rsid w:val="0074308D"/>
    <w:rsid w:val="00746144"/>
    <w:rsid w:val="007505DC"/>
    <w:rsid w:val="007715B6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54C03"/>
    <w:rsid w:val="00856129"/>
    <w:rsid w:val="00860700"/>
    <w:rsid w:val="0086370C"/>
    <w:rsid w:val="00863B38"/>
    <w:rsid w:val="00866302"/>
    <w:rsid w:val="00871687"/>
    <w:rsid w:val="00874B83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16C4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0890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29E7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35D0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15ADB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29F2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411E"/>
    <w:rsid w:val="00DB7A33"/>
    <w:rsid w:val="00DC1956"/>
    <w:rsid w:val="00DC1B11"/>
    <w:rsid w:val="00DC5991"/>
    <w:rsid w:val="00DC5C15"/>
    <w:rsid w:val="00DC632B"/>
    <w:rsid w:val="00DD43E5"/>
    <w:rsid w:val="00DD4AAE"/>
    <w:rsid w:val="00DD7418"/>
    <w:rsid w:val="00DE275D"/>
    <w:rsid w:val="00DE4039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1FAC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3EE"/>
    <w:rsid w:val="00EA3704"/>
    <w:rsid w:val="00EA39AE"/>
    <w:rsid w:val="00EA71BD"/>
    <w:rsid w:val="00EA7523"/>
    <w:rsid w:val="00EA7A3E"/>
    <w:rsid w:val="00EB07D5"/>
    <w:rsid w:val="00EB1FD5"/>
    <w:rsid w:val="00EB4240"/>
    <w:rsid w:val="00ED25C8"/>
    <w:rsid w:val="00ED3031"/>
    <w:rsid w:val="00ED41F7"/>
    <w:rsid w:val="00EE171C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4545"/>
    <w:rsid w:val="00F56CBD"/>
    <w:rsid w:val="00F57D26"/>
    <w:rsid w:val="00F633E0"/>
    <w:rsid w:val="00F66F70"/>
    <w:rsid w:val="00F672E6"/>
    <w:rsid w:val="00F67CAF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11D66"/>
    <w:rsid w:val="004A300F"/>
    <w:rsid w:val="004B047B"/>
    <w:rsid w:val="0051733C"/>
    <w:rsid w:val="00530305"/>
    <w:rsid w:val="0068654D"/>
    <w:rsid w:val="006E52F1"/>
    <w:rsid w:val="00820CC2"/>
    <w:rsid w:val="00920890"/>
    <w:rsid w:val="00921C4E"/>
    <w:rsid w:val="009929E7"/>
    <w:rsid w:val="009E47E7"/>
    <w:rsid w:val="00A12281"/>
    <w:rsid w:val="00A75789"/>
    <w:rsid w:val="00A903B5"/>
    <w:rsid w:val="00AA1DAE"/>
    <w:rsid w:val="00AC588A"/>
    <w:rsid w:val="00AD6895"/>
    <w:rsid w:val="00B15ADB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DE4039"/>
    <w:rsid w:val="00E03819"/>
    <w:rsid w:val="00E600A4"/>
    <w:rsid w:val="00EA33EE"/>
    <w:rsid w:val="00EE171C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23</cp:revision>
  <dcterms:created xsi:type="dcterms:W3CDTF">2026-03-18T10:03:00Z</dcterms:created>
  <dcterms:modified xsi:type="dcterms:W3CDTF">2026-03-20T09:33:00Z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