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BB0697" w:rsidRDefault="001508AD" w:rsidP="006E0B5F">
            <w:pPr>
              <w:spacing w:line="240" w:lineRule="auto"/>
              <w:rPr>
                <w:rFonts w:cs="Arial"/>
                <w:sz w:val="20"/>
                <w:lang w:val="fr-CA"/>
              </w:rPr>
            </w:pPr>
            <w:r>
              <w:rPr>
                <w:rFonts w:cs="Arial"/>
                <w:sz w:val="20"/>
              </w:rPr>
              <w:t>Francfort-sur-le-Main, le 17 avril 2025</w:t>
            </w:r>
          </w:p>
          <w:p w14:paraId="08E57382" w14:textId="77777777" w:rsidR="000057E5" w:rsidRPr="00BB0697" w:rsidRDefault="000057E5" w:rsidP="006E0B5F">
            <w:pPr>
              <w:spacing w:line="240" w:lineRule="auto"/>
              <w:rPr>
                <w:rFonts w:cs="Arial"/>
                <w:sz w:val="20"/>
                <w:lang w:val="fr-CA"/>
              </w:rPr>
            </w:pPr>
          </w:p>
          <w:p w14:paraId="661C6DC5" w14:textId="29A5ABAD" w:rsidR="007E25D6" w:rsidRPr="00BB0697" w:rsidRDefault="007E25D6" w:rsidP="43BD70F1">
            <w:pPr>
              <w:spacing w:line="240" w:lineRule="auto"/>
              <w:rPr>
                <w:rFonts w:cs="Arial"/>
                <w:sz w:val="20"/>
                <w:lang w:val="fr-CA"/>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BB0697" w:rsidRDefault="000057E5" w:rsidP="43BD70F1">
            <w:pPr>
              <w:spacing w:line="240" w:lineRule="auto"/>
              <w:rPr>
                <w:rFonts w:cs="Arial"/>
                <w:b/>
                <w:bCs/>
                <w:sz w:val="20"/>
                <w:lang w:val="fr-CA"/>
              </w:rPr>
            </w:pPr>
          </w:p>
          <w:p w14:paraId="0C4E40E9" w14:textId="4295EF51" w:rsidR="009D5C1A" w:rsidRPr="00BB0697" w:rsidRDefault="009359CB" w:rsidP="009D5C1A">
            <w:pPr>
              <w:spacing w:line="240" w:lineRule="auto"/>
              <w:rPr>
                <w:rFonts w:cs="Arial"/>
                <w:b/>
                <w:bCs/>
                <w:sz w:val="32"/>
                <w:szCs w:val="32"/>
                <w:lang w:val="fr-CA"/>
              </w:rPr>
            </w:pPr>
            <w:r>
              <w:rPr>
                <w:rFonts w:cs="Arial"/>
                <w:b/>
                <w:bCs/>
                <w:sz w:val="32"/>
                <w:szCs w:val="32"/>
              </w:rPr>
              <w:t>Les usines neutres en carbone de GF Building Flow Solutions : trois nouveaux sites marquent une étape vers des opérations neutres en carbone</w:t>
            </w:r>
          </w:p>
          <w:p w14:paraId="3C25F590" w14:textId="77777777" w:rsidR="009D5C1A" w:rsidRPr="00BB0697" w:rsidRDefault="009D5C1A" w:rsidP="009D5C1A">
            <w:pPr>
              <w:spacing w:line="240" w:lineRule="auto"/>
              <w:rPr>
                <w:rFonts w:cs="Arial"/>
                <w:b/>
                <w:sz w:val="20"/>
                <w:lang w:val="fr-CA"/>
              </w:rPr>
            </w:pPr>
          </w:p>
          <w:p w14:paraId="5337B9BF" w14:textId="7B740AE3" w:rsidR="00A63EF3" w:rsidRPr="00BB0697" w:rsidRDefault="006551C2" w:rsidP="009D5C1A">
            <w:pPr>
              <w:spacing w:line="240" w:lineRule="auto"/>
              <w:rPr>
                <w:rFonts w:cs="Arial"/>
                <w:b/>
                <w:bCs/>
                <w:sz w:val="32"/>
                <w:szCs w:val="32"/>
                <w:lang w:val="fr-CA"/>
              </w:rPr>
            </w:pPr>
            <w:r>
              <w:rPr>
                <w:rFonts w:cs="Arial"/>
                <w:b/>
                <w:sz w:val="20"/>
              </w:rPr>
              <w:t xml:space="preserve">GF Building Flow Solutions fait une nouvelle avancée vers la neutralité carbone en ajoutant trois nouveaux sites de production – Cerkezkoy (Turquie), Ecoflex production à Hassfurt (Allemagne), et Apple Valley (États-Unis) – à ses opérations neutres en carbone (scopes 1 et 2). Ce résultat souligne l'engagement continu de GF Building Flow Solutions pour limiter au minimum sa consommation en ressources.  </w:t>
            </w:r>
          </w:p>
          <w:p w14:paraId="2FF03D29" w14:textId="77777777" w:rsidR="00A63EF3" w:rsidRPr="00BB0697" w:rsidRDefault="00A63EF3" w:rsidP="001520F8">
            <w:pPr>
              <w:spacing w:line="240" w:lineRule="auto"/>
              <w:rPr>
                <w:rFonts w:cs="Arial"/>
                <w:b/>
                <w:sz w:val="20"/>
                <w:lang w:val="fr-CA"/>
              </w:rPr>
            </w:pPr>
          </w:p>
          <w:p w14:paraId="3DDCC37C" w14:textId="384C1C42" w:rsidR="00AA6FED" w:rsidRPr="00BB0697" w:rsidRDefault="00BB0697" w:rsidP="00BD07DA">
            <w:pPr>
              <w:spacing w:line="240" w:lineRule="auto"/>
              <w:rPr>
                <w:rFonts w:cs="Arial"/>
                <w:sz w:val="20"/>
                <w:lang w:val="fr-CA"/>
              </w:rPr>
            </w:pPr>
            <w:r>
              <w:rPr>
                <w:rFonts w:cs="Arial"/>
                <w:sz w:val="20"/>
              </w:rPr>
              <w:t>“</w:t>
            </w:r>
            <w:r w:rsidR="00D235B7">
              <w:rPr>
                <w:rFonts w:cs="Arial"/>
                <w:sz w:val="20"/>
              </w:rPr>
              <w:t> Notre secteur d'activité ayant un impact considérable dans la lutte dans le changement climatique et dans l'approvisionnement en eau potable hygiénique, GF Building Flow Solutions s’efforce en permanence d’innover avec des solutions durables de consommation d’eau pour les bâtiments. La fabrication de nos produits et solutions est basée sur des pratiques saines de gestion de l'environnement en intégrant les sources d'énergie renouvelables dans nos opérations à l'échelle mondiale pour réduire leur empreinte environnementale. Nous nous engageons à adopter une approche active pour limiter nos impacts opérationnels et assurer une utilisation efficace des ressources </w:t>
            </w:r>
            <w:r>
              <w:rPr>
                <w:rFonts w:cs="Arial"/>
                <w:sz w:val="20"/>
              </w:rPr>
              <w:t>”</w:t>
            </w:r>
            <w:r w:rsidR="00D235B7">
              <w:rPr>
                <w:rFonts w:cs="Arial"/>
                <w:sz w:val="20"/>
              </w:rPr>
              <w:t>, a déclaré Thomas Fuhr, Chief Technology Officer</w:t>
            </w:r>
            <w:r w:rsidR="002D7DBD">
              <w:rPr>
                <w:rFonts w:cs="Arial"/>
                <w:sz w:val="20"/>
              </w:rPr>
              <w:t xml:space="preserve">, </w:t>
            </w:r>
            <w:r w:rsidR="00D235B7">
              <w:rPr>
                <w:rFonts w:cs="Arial"/>
                <w:sz w:val="20"/>
              </w:rPr>
              <w:t xml:space="preserve">GF Building Flow Solutions. </w:t>
            </w:r>
            <w:r>
              <w:rPr>
                <w:rFonts w:cs="Arial"/>
                <w:sz w:val="20"/>
              </w:rPr>
              <w:t>“</w:t>
            </w:r>
            <w:r w:rsidR="00D235B7">
              <w:rPr>
                <w:rFonts w:cs="Arial"/>
                <w:sz w:val="20"/>
              </w:rPr>
              <w:t xml:space="preserve"> Avec le site à Cerkezkoy, le site de production Ecoflex à Hassfurt, et les installations d'Apple Valley, nous avons franchi une étape supplémentaire dans la voie de GF vers des opérations neutres en carbone. </w:t>
            </w:r>
            <w:r>
              <w:rPr>
                <w:rFonts w:cs="Arial"/>
                <w:sz w:val="20"/>
              </w:rPr>
              <w:t>”</w:t>
            </w:r>
            <w:r w:rsidR="00D235B7">
              <w:rPr>
                <w:rFonts w:cs="Arial"/>
                <w:sz w:val="20"/>
              </w:rPr>
              <w:t xml:space="preserve"> </w:t>
            </w:r>
          </w:p>
          <w:p w14:paraId="33354859" w14:textId="77777777" w:rsidR="0002239B" w:rsidRPr="00BB0697" w:rsidRDefault="0002239B" w:rsidP="00BD07DA">
            <w:pPr>
              <w:spacing w:line="240" w:lineRule="auto"/>
              <w:rPr>
                <w:rFonts w:cs="Arial"/>
                <w:sz w:val="20"/>
                <w:lang w:val="fr-CA"/>
              </w:rPr>
            </w:pPr>
          </w:p>
          <w:p w14:paraId="1EFAB238" w14:textId="4B492078" w:rsidR="00340B6D" w:rsidRPr="00BB0697" w:rsidRDefault="00BD07DA" w:rsidP="009D4E86">
            <w:pPr>
              <w:spacing w:line="240" w:lineRule="auto"/>
              <w:rPr>
                <w:rFonts w:cs="Arial"/>
                <w:sz w:val="20"/>
                <w:lang w:val="fr-CA"/>
              </w:rPr>
            </w:pPr>
            <w:r>
              <w:rPr>
                <w:rFonts w:cs="Arial"/>
                <w:sz w:val="20"/>
              </w:rPr>
              <w:t xml:space="preserve">L'unité de fabrication de GF Building Flow Solutions à Cerkezkoy (Turquie), également connue sous le nom de Georg Fischer Hakan Plastik, est spécialisée dans des solutions de haute qualité pour les eaux usées. Les principales mesures mises en œuvre pour les réductions d'émissions au niveau du site portent sur la gestion de l'énergie et l'efficacité, ce qui comprend l'utilisation d'énergies renouvelables permettant une réduction des émissions d'environ 95 % par rapport à l'année de référence 2019. La gestion des déchets et des approches d'économie circulaire ont réduit de 36 % les déchets dus à la production et l'installation. </w:t>
            </w:r>
          </w:p>
          <w:p w14:paraId="6C72D868" w14:textId="38EEF215" w:rsidR="009D4E86" w:rsidRPr="00BB0697" w:rsidRDefault="009D4E86" w:rsidP="00A10473">
            <w:pPr>
              <w:spacing w:line="240" w:lineRule="auto"/>
              <w:rPr>
                <w:rFonts w:cs="Arial"/>
                <w:sz w:val="20"/>
                <w:lang w:val="fr-CA"/>
              </w:rPr>
            </w:pPr>
            <w:r>
              <w:rPr>
                <w:rFonts w:cs="Arial"/>
                <w:sz w:val="20"/>
              </w:rPr>
              <w:t xml:space="preserve">            </w:t>
            </w:r>
          </w:p>
          <w:p w14:paraId="3784F74B" w14:textId="13C326CF" w:rsidR="006C2607" w:rsidRPr="00BB0697" w:rsidRDefault="00BD07DA" w:rsidP="006C2607">
            <w:pPr>
              <w:spacing w:line="240" w:lineRule="auto"/>
              <w:rPr>
                <w:rFonts w:cs="Arial"/>
                <w:sz w:val="20"/>
                <w:lang w:val="fr-CA"/>
              </w:rPr>
            </w:pPr>
            <w:r>
              <w:rPr>
                <w:rFonts w:cs="Arial"/>
                <w:sz w:val="20"/>
              </w:rPr>
              <w:t xml:space="preserve">Il y a dix ans que le site de production Ecoflex à Hassfurt (Allemagne) a entamé sa transition vers une fabrication neutre en carbone en passant entièrement à une électricité certifiée verte à 100 %. Les principales mesures d'amélioration de l'efficacité énergétique dans la production et les bâtiments comprenaient la mise aux normes du système de chauffage ainsi que des modifications comme l'installation d'une centrale électrique solaire. Par conséquent, les émissions du site ont été réduites d’environ 91 % par rapport à l’année de référence. </w:t>
            </w:r>
          </w:p>
          <w:p w14:paraId="4362870F" w14:textId="77777777" w:rsidR="00422A7F" w:rsidRPr="00BB0697" w:rsidRDefault="00422A7F" w:rsidP="006C2607">
            <w:pPr>
              <w:spacing w:line="240" w:lineRule="auto"/>
              <w:rPr>
                <w:rFonts w:cs="Arial"/>
                <w:sz w:val="20"/>
                <w:lang w:val="fr-CA"/>
              </w:rPr>
            </w:pPr>
          </w:p>
          <w:p w14:paraId="563B1361" w14:textId="23C65F97" w:rsidR="005D27E6" w:rsidRPr="00BB0697" w:rsidRDefault="007A00B6" w:rsidP="005D27E6">
            <w:pPr>
              <w:spacing w:line="240" w:lineRule="auto"/>
              <w:rPr>
                <w:rFonts w:cs="Arial"/>
                <w:sz w:val="20"/>
                <w:lang w:val="fr-CA"/>
              </w:rPr>
            </w:pPr>
            <w:r>
              <w:rPr>
                <w:rFonts w:cs="Arial"/>
                <w:sz w:val="20"/>
              </w:rPr>
              <w:t>Les installations de production d'Apple Valley au siège social de GF en Amérique du nord ont mis en œuvre des mesures considérables pour parvenir à l'état de neutralité carbone. Ces mesures comprennent l'utilisation à 100 % d'électricité verte, la conversion à l'électrique de trois chaudières au gaz, et le passage à 100 % à l'éclairage LED. En outre, près de 100 fenêtres ont été remplacées pour améliorer l'efficacité, et la RTU (l'unité de télégestion) à gaz naturel a fait place à la chaleur électrique. Par conséquent, les émissions de CO</w:t>
            </w:r>
            <w:r>
              <w:rPr>
                <w:rFonts w:cs="Arial"/>
                <w:sz w:val="20"/>
                <w:vertAlign w:val="subscript"/>
              </w:rPr>
              <w:t>2</w:t>
            </w:r>
            <w:r>
              <w:rPr>
                <w:rFonts w:cs="Arial"/>
                <w:sz w:val="20"/>
              </w:rPr>
              <w:t xml:space="preserve">ont été réduites de 93 %, diminuant considérablement les émissions de gaz à effet de serre. </w:t>
            </w:r>
          </w:p>
          <w:p w14:paraId="070F1F0E" w14:textId="77777777" w:rsidR="005D27E6" w:rsidRPr="00BB0697" w:rsidRDefault="005D27E6" w:rsidP="005D27E6">
            <w:pPr>
              <w:spacing w:line="240" w:lineRule="auto"/>
              <w:rPr>
                <w:rFonts w:cs="Arial"/>
                <w:sz w:val="20"/>
                <w:lang w:val="fr-CA"/>
              </w:rPr>
            </w:pPr>
          </w:p>
          <w:p w14:paraId="2F9FD90D" w14:textId="51C8346D" w:rsidR="006C2607" w:rsidRPr="00BB0697" w:rsidRDefault="006C2607" w:rsidP="006C2607">
            <w:pPr>
              <w:spacing w:line="240" w:lineRule="auto"/>
              <w:rPr>
                <w:rFonts w:cs="Arial"/>
                <w:sz w:val="20"/>
                <w:lang w:val="fr-CA"/>
              </w:rPr>
            </w:pPr>
            <w:r>
              <w:rPr>
                <w:rFonts w:cs="Arial"/>
                <w:sz w:val="20"/>
              </w:rPr>
              <w:t xml:space="preserve">Pour parvenir à une neutralité carbone totale dans le cadre du concept de Carbon Neutral Factory de GF Building Flow Solutions, le reste des émissions de tous les trois sites sera compensé grâce à une combinaison de solutions : un premier processus de séquestration du carbone par des arbres, vérifié avec retrait inscrit au registre de Verra, sera complété par une solution d’absorption du carbone sous forme de biochar via le registre de Puro.earth ou de Carbon Standards International.  </w:t>
            </w:r>
          </w:p>
          <w:p w14:paraId="5E15546A" w14:textId="77777777" w:rsidR="009965FA" w:rsidRPr="00BB0697" w:rsidRDefault="009965FA" w:rsidP="006C2607">
            <w:pPr>
              <w:spacing w:line="240" w:lineRule="auto"/>
              <w:rPr>
                <w:rFonts w:cs="Arial"/>
                <w:sz w:val="20"/>
                <w:lang w:val="fr-CA"/>
              </w:rPr>
            </w:pPr>
          </w:p>
          <w:p w14:paraId="4FABEBB6" w14:textId="6AEFF8DD" w:rsidR="00A86B05" w:rsidRPr="00BB0697" w:rsidRDefault="00BB0697" w:rsidP="006C2607">
            <w:pPr>
              <w:spacing w:line="240" w:lineRule="auto"/>
              <w:rPr>
                <w:rFonts w:cs="Arial"/>
                <w:sz w:val="20"/>
                <w:lang w:val="fr-CA"/>
              </w:rPr>
            </w:pPr>
            <w:r>
              <w:rPr>
                <w:rFonts w:cs="Arial"/>
                <w:sz w:val="20"/>
              </w:rPr>
              <w:lastRenderedPageBreak/>
              <w:t>“</w:t>
            </w:r>
            <w:r w:rsidR="009965FA">
              <w:rPr>
                <w:rFonts w:cs="Arial"/>
                <w:sz w:val="20"/>
              </w:rPr>
              <w:t xml:space="preserve"> Ensemble avec nos équipes et tous les collègues de GF Building Flow Solutions qui ont été impliqués dans ces processus, je suis fier de ce que nous avons réalisé pour réduire nos émissions sur des sites supplémentaires </w:t>
            </w:r>
            <w:r>
              <w:rPr>
                <w:rFonts w:cs="Arial"/>
                <w:sz w:val="20"/>
              </w:rPr>
              <w:t>”</w:t>
            </w:r>
            <w:r w:rsidR="009965FA">
              <w:rPr>
                <w:rFonts w:cs="Arial"/>
                <w:sz w:val="20"/>
              </w:rPr>
              <w:t xml:space="preserve">, a déclaré Thomas Fuhr. </w:t>
            </w:r>
            <w:r>
              <w:rPr>
                <w:rFonts w:cs="Arial"/>
                <w:sz w:val="20"/>
              </w:rPr>
              <w:t>“</w:t>
            </w:r>
            <w:r w:rsidR="009965FA">
              <w:rPr>
                <w:rFonts w:cs="Arial"/>
                <w:sz w:val="20"/>
              </w:rPr>
              <w:t> Ces réalisations soulignent notre volonté constante d’être un leader du secteur en matière de développement durable. </w:t>
            </w:r>
            <w:r>
              <w:rPr>
                <w:rFonts w:cs="Arial"/>
                <w:sz w:val="20"/>
              </w:rPr>
              <w:t>”</w:t>
            </w:r>
          </w:p>
          <w:p w14:paraId="765666F3" w14:textId="77777777" w:rsidR="005D27E6" w:rsidRPr="00BB0697" w:rsidRDefault="005D27E6" w:rsidP="006C2607">
            <w:pPr>
              <w:spacing w:line="240" w:lineRule="auto"/>
              <w:rPr>
                <w:rFonts w:cs="Arial"/>
                <w:sz w:val="20"/>
                <w:lang w:val="fr-CA"/>
              </w:rPr>
            </w:pPr>
          </w:p>
          <w:p w14:paraId="4136B602" w14:textId="1D463C75" w:rsidR="007032A9" w:rsidRPr="00BB0697" w:rsidRDefault="007032A9" w:rsidP="006C2607">
            <w:pPr>
              <w:spacing w:line="240" w:lineRule="auto"/>
              <w:rPr>
                <w:rFonts w:cs="Arial"/>
                <w:sz w:val="20"/>
                <w:lang w:val="fr-CA"/>
              </w:rPr>
            </w:pPr>
            <w:r>
              <w:rPr>
                <w:rFonts w:cs="Arial"/>
                <w:sz w:val="20"/>
              </w:rPr>
              <w:t xml:space="preserve">Pour en savoir plus sur le Cadre de développement durable de GF : </w:t>
            </w:r>
            <w:hyperlink r:id="rId11" w:history="1">
              <w:r>
                <w:rPr>
                  <w:rStyle w:val="Hyperlink"/>
                  <w:rFonts w:cs="Arial"/>
                  <w:sz w:val="20"/>
                </w:rPr>
                <w:t>https://www.georgfischer.com/en/sustainability-at-gf/sustainability-framework-2025.html</w:t>
              </w:r>
            </w:hyperlink>
            <w:r>
              <w:rPr>
                <w:rFonts w:cs="Arial"/>
                <w:sz w:val="20"/>
              </w:rPr>
              <w:t xml:space="preserve"> </w:t>
            </w:r>
          </w:p>
          <w:p w14:paraId="1989810E" w14:textId="77777777" w:rsidR="006C2607" w:rsidRPr="00BB0697" w:rsidRDefault="006C2607" w:rsidP="006C2607">
            <w:pPr>
              <w:spacing w:line="240" w:lineRule="auto"/>
              <w:rPr>
                <w:rFonts w:eastAsia="Arial" w:cs="Arial"/>
                <w:sz w:val="20"/>
                <w:lang w:val="fr-CA"/>
              </w:rPr>
            </w:pPr>
          </w:p>
          <w:p w14:paraId="383CF680" w14:textId="77777777" w:rsidR="00422A7F" w:rsidRPr="00BB0697" w:rsidRDefault="00422A7F" w:rsidP="00B56ED5">
            <w:pPr>
              <w:spacing w:line="240" w:lineRule="auto"/>
              <w:rPr>
                <w:rFonts w:cs="Arial"/>
                <w:b/>
                <w:color w:val="000000"/>
                <w:sz w:val="20"/>
                <w:lang w:val="fr-CA"/>
              </w:rPr>
            </w:pPr>
          </w:p>
          <w:p w14:paraId="408C744B" w14:textId="77777777" w:rsidR="008930B9" w:rsidRPr="00213B5D" w:rsidRDefault="008930B9" w:rsidP="008930B9">
            <w:pPr>
              <w:spacing w:line="240" w:lineRule="auto"/>
              <w:rPr>
                <w:rStyle w:val="PlaceholderText"/>
                <w:rFonts w:cs="Arial"/>
                <w:b/>
                <w:color w:val="000000"/>
                <w:sz w:val="20"/>
                <w:lang w:val="fr-CA"/>
              </w:rPr>
            </w:pPr>
            <w:r>
              <w:rPr>
                <w:rFonts w:cs="Arial"/>
                <w:b/>
                <w:color w:val="000000"/>
                <w:sz w:val="20"/>
              </w:rPr>
              <w:t>Contact presse :</w:t>
            </w:r>
          </w:p>
          <w:p w14:paraId="67563071" w14:textId="77777777" w:rsidR="008930B9" w:rsidRPr="00C16E1C" w:rsidRDefault="008930B9" w:rsidP="008930B9">
            <w:pPr>
              <w:spacing w:line="240" w:lineRule="auto"/>
              <w:rPr>
                <w:rFonts w:cs="Arial"/>
                <w:color w:val="000000"/>
                <w:sz w:val="20"/>
                <w:lang w:val="fr-CH"/>
              </w:rPr>
            </w:pPr>
            <w:r>
              <w:rPr>
                <w:rFonts w:cs="Arial"/>
                <w:color w:val="000000"/>
                <w:sz w:val="20"/>
              </w:rPr>
              <w:t>Beatrix Pfundstein</w:t>
            </w:r>
          </w:p>
          <w:p w14:paraId="708D5F07" w14:textId="77777777" w:rsidR="008930B9" w:rsidRPr="00C16E1C" w:rsidRDefault="008930B9" w:rsidP="008930B9">
            <w:pPr>
              <w:spacing w:line="240" w:lineRule="auto"/>
              <w:rPr>
                <w:rFonts w:cs="Arial"/>
                <w:color w:val="000000"/>
                <w:sz w:val="20"/>
                <w:lang w:val="fr-CH"/>
              </w:rPr>
            </w:pPr>
            <w:r>
              <w:rPr>
                <w:rFonts w:cs="Arial"/>
                <w:color w:val="000000"/>
                <w:sz w:val="20"/>
              </w:rPr>
              <w:t xml:space="preserve">Manager Global PR &amp; Communications </w:t>
            </w:r>
          </w:p>
          <w:p w14:paraId="7A8372AB" w14:textId="77777777" w:rsidR="008930B9" w:rsidRPr="00AB177E" w:rsidRDefault="008930B9" w:rsidP="008930B9">
            <w:pPr>
              <w:spacing w:line="240" w:lineRule="auto"/>
              <w:rPr>
                <w:rFonts w:cs="Arial"/>
                <w:color w:val="000000"/>
                <w:sz w:val="20"/>
                <w:lang w:val="en-US"/>
              </w:rPr>
            </w:pPr>
            <w:r w:rsidRPr="00213B5D">
              <w:rPr>
                <w:rFonts w:cs="Arial"/>
                <w:color w:val="000000"/>
                <w:sz w:val="20"/>
                <w:lang w:val="en-US"/>
              </w:rPr>
              <w:t>GF Building Flow Solutions</w:t>
            </w:r>
          </w:p>
          <w:p w14:paraId="1FD31650" w14:textId="77777777" w:rsidR="008930B9" w:rsidRPr="00AB177E" w:rsidRDefault="008930B9" w:rsidP="008930B9">
            <w:pPr>
              <w:spacing w:line="240" w:lineRule="auto"/>
              <w:rPr>
                <w:rFonts w:cs="Arial"/>
                <w:color w:val="000000"/>
                <w:sz w:val="20"/>
                <w:lang w:val="en-US"/>
              </w:rPr>
            </w:pPr>
            <w:hyperlink r:id="rId12" w:history="1">
              <w:r w:rsidRPr="00213B5D">
                <w:rPr>
                  <w:rStyle w:val="Hyperlink"/>
                  <w:rFonts w:cs="Arial"/>
                  <w:sz w:val="20"/>
                  <w:lang w:val="en-US"/>
                </w:rPr>
                <w:t>beatrix.pfundstein@uponor.com</w:t>
              </w:r>
            </w:hyperlink>
          </w:p>
          <w:p w14:paraId="000BCF36" w14:textId="77777777" w:rsidR="008930B9" w:rsidRPr="003D3B74" w:rsidRDefault="008930B9" w:rsidP="008930B9">
            <w:pPr>
              <w:autoSpaceDE w:val="0"/>
              <w:autoSpaceDN w:val="0"/>
              <w:adjustRightInd w:val="0"/>
              <w:spacing w:line="240" w:lineRule="auto"/>
              <w:rPr>
                <w:rFonts w:cs="Arial"/>
                <w:b/>
                <w:bCs/>
                <w:color w:val="000000"/>
                <w:sz w:val="20"/>
                <w:lang w:val="en-US"/>
              </w:rPr>
            </w:pPr>
            <w:r w:rsidRPr="00213B5D">
              <w:rPr>
                <w:rFonts w:cs="Arial"/>
                <w:color w:val="000000"/>
                <w:sz w:val="20"/>
                <w:lang w:val="en-US"/>
              </w:rPr>
              <w:t>+49 (0)69 795386015</w:t>
            </w:r>
          </w:p>
          <w:p w14:paraId="6018FD6B" w14:textId="77777777" w:rsidR="008930B9" w:rsidRPr="007D507E" w:rsidRDefault="008930B9" w:rsidP="008930B9">
            <w:pPr>
              <w:spacing w:line="240" w:lineRule="auto"/>
              <w:rPr>
                <w:rFonts w:cs="Arial"/>
                <w:sz w:val="20"/>
                <w:lang w:val="en-US"/>
              </w:rPr>
            </w:pPr>
          </w:p>
          <w:p w14:paraId="39BED18E" w14:textId="77777777" w:rsidR="008930B9" w:rsidRPr="007D507E" w:rsidRDefault="008930B9" w:rsidP="008930B9">
            <w:pPr>
              <w:spacing w:line="240" w:lineRule="auto"/>
              <w:rPr>
                <w:rFonts w:eastAsia="Arial" w:cs="Arial"/>
                <w:b/>
                <w:bCs/>
                <w:sz w:val="15"/>
                <w:szCs w:val="15"/>
                <w:lang w:val="en-US"/>
              </w:rPr>
            </w:pPr>
            <w:r w:rsidRPr="00213B5D">
              <w:rPr>
                <w:rFonts w:eastAsia="Arial" w:cs="Arial"/>
                <w:b/>
                <w:bCs/>
                <w:sz w:val="15"/>
                <w:szCs w:val="15"/>
                <w:lang w:val="en-US"/>
              </w:rPr>
              <w:t xml:space="preserve">À propos de GF Building Flow Solutions - </w:t>
            </w:r>
            <w:r w:rsidRPr="007D507E">
              <w:rPr>
                <w:rFonts w:eastAsia="Arial" w:cs="Arial"/>
                <w:b/>
                <w:bCs/>
                <w:sz w:val="15"/>
                <w:szCs w:val="15"/>
                <w:lang w:val="en-US"/>
              </w:rPr>
              <w:t>Leading with Water</w:t>
            </w:r>
          </w:p>
          <w:p w14:paraId="687A1A56" w14:textId="77777777" w:rsidR="008930B9" w:rsidRPr="00213B5D" w:rsidRDefault="008930B9" w:rsidP="008930B9">
            <w:pPr>
              <w:spacing w:line="240" w:lineRule="auto"/>
              <w:rPr>
                <w:sz w:val="15"/>
                <w:szCs w:val="15"/>
                <w:lang w:val="fr-CA"/>
              </w:rPr>
            </w:pPr>
            <w:r>
              <w:rPr>
                <w:sz w:val="15"/>
                <w:szCs w:val="15"/>
              </w:rPr>
              <w:t>Compte tenu du fait que le secteur de la construction représente une part significative des émissions mondiales de CO</w:t>
            </w:r>
            <w:r w:rsidRPr="00FF44FD">
              <w:rPr>
                <w:sz w:val="15"/>
                <w:szCs w:val="15"/>
                <w:vertAlign w:val="subscript"/>
              </w:rPr>
              <w:t>2</w:t>
            </w:r>
            <w:r>
              <w:rPr>
                <w:sz w:val="15"/>
                <w:szCs w:val="15"/>
              </w:rPr>
              <w:t xml:space="preserve"> et de la nécessité de disposer d’une eau potable propre et sûre pour répondre aux besoins d’une population en pleine croissance, GF Building Flow Solutions s’est donné pour mission de résoudre les défis de notre époque : la demande croissante en bâtiments abordables et économes en énergie, en habitations accueillantes et sûres, ainsi qu’en l’accès à une eau potable propre et sûre. GF Building Flow Solutions opère sous la devise </w:t>
            </w:r>
            <w:r w:rsidRPr="00213B5D">
              <w:rPr>
                <w:sz w:val="15"/>
                <w:szCs w:val="15"/>
                <w:lang w:val="fr-CA"/>
              </w:rPr>
              <w:t>Leading with Water</w:t>
            </w:r>
            <w:r>
              <w:rPr>
                <w:sz w:val="15"/>
                <w:szCs w:val="15"/>
              </w:rPr>
              <w:t xml:space="preserve"> en libérant le plein potentiel de l’eau en tant que ressource afin de construire des bâtiments plus performants, simplifier le progrès et permettre à nos clients d’être plus productifs et plus durables, le tout en garantissant confort, santé et efficacité. Grâce à la combinaison des meilleures offres des leaders sur le marché, GF, Uponor et JRG, des marques de qualités suisse, finlandaise et allemande, les clients ont accès à la plus grande plateforme technologique et à de nombreuses applications diverses, pour une satisfaction et des performances accrues. Le portefeuille comprend des solutions sûres pour l’approvisionnement et la régulation de l’eau chaude et de l’eau froide, des systèmes d’évacuation des eaux usées à faibles nuisances sonores, ainsi qu’un chauffage/refroidissement efficace sur le plan énergétique. GF Building Flow Solutions, une division de GF, précédemment connue sous les noms d’Uponor (Uponor Inc. aux États-Unis, Uponor Ltd. au Canada) et de GF Building Technology, dispose de sociétés de distribution dans 30 pays et de sites de production dans 12 sites en Europe, ainsi qu’en Je Amérique du Nord et du Sud.</w:t>
            </w:r>
          </w:p>
          <w:p w14:paraId="2F5148B5" w14:textId="77777777" w:rsidR="008930B9" w:rsidRPr="00A02CB3" w:rsidRDefault="008930B9" w:rsidP="008930B9">
            <w:pPr>
              <w:spacing w:line="240" w:lineRule="auto"/>
              <w:rPr>
                <w:sz w:val="15"/>
                <w:szCs w:val="15"/>
                <w:lang w:val="en-US"/>
              </w:rPr>
            </w:pPr>
            <w:r>
              <w:rPr>
                <w:sz w:val="15"/>
                <w:szCs w:val="15"/>
              </w:rPr>
              <w:t>#LeadingwithWater​</w:t>
            </w:r>
          </w:p>
          <w:p w14:paraId="5C5F1E12" w14:textId="77777777" w:rsidR="008930B9" w:rsidRPr="007D507E" w:rsidRDefault="008930B9" w:rsidP="008930B9">
            <w:pPr>
              <w:spacing w:line="240" w:lineRule="auto"/>
              <w:rPr>
                <w:sz w:val="15"/>
                <w:szCs w:val="15"/>
                <w:lang w:val="en-US"/>
              </w:rPr>
            </w:pPr>
            <w:hyperlink r:id="rId13" w:history="1">
              <w:hyperlink r:id="rId14" w:history="1">
                <w:r>
                  <w:rPr>
                    <w:rStyle w:val="Hyperlink"/>
                    <w:color w:val="auto"/>
                    <w:sz w:val="15"/>
                    <w:szCs w:val="15"/>
                  </w:rPr>
                  <w:t>www.georgfischer.com</w:t>
                </w:r>
              </w:hyperlink>
            </w:hyperlink>
          </w:p>
          <w:p w14:paraId="48117BF8" w14:textId="77777777" w:rsidR="008930B9" w:rsidRPr="007D507E" w:rsidRDefault="008930B9" w:rsidP="008930B9">
            <w:pPr>
              <w:spacing w:line="240" w:lineRule="auto"/>
              <w:rPr>
                <w:sz w:val="15"/>
                <w:szCs w:val="15"/>
                <w:lang w:val="en-US"/>
              </w:rPr>
            </w:pPr>
            <w:hyperlink r:id="rId15" w:history="1">
              <w:hyperlink r:id="rId16" w:history="1">
                <w:r>
                  <w:rPr>
                    <w:rStyle w:val="Hyperlink"/>
                    <w:color w:val="auto"/>
                    <w:sz w:val="15"/>
                    <w:szCs w:val="15"/>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BB0697" w:rsidRDefault="005F559D" w:rsidP="005F559D">
            <w:pPr>
              <w:spacing w:line="240" w:lineRule="auto"/>
              <w:rPr>
                <w:rFonts w:cs="Arial"/>
                <w:b/>
                <w:color w:val="000000"/>
                <w:sz w:val="20"/>
                <w:lang w:val="fr-CA"/>
              </w:rPr>
            </w:pPr>
            <w:r>
              <w:rPr>
                <w:rFonts w:cs="Arial"/>
                <w:b/>
                <w:color w:val="000000"/>
                <w:sz w:val="20"/>
              </w:rPr>
              <w:t>Images</w:t>
            </w:r>
          </w:p>
          <w:p w14:paraId="34C4232E" w14:textId="77777777" w:rsidR="005F559D" w:rsidRPr="00BB0697" w:rsidRDefault="005F559D" w:rsidP="005F559D">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63866CC8" w14:textId="77777777" w:rsidR="005F559D" w:rsidRPr="00BB0697" w:rsidRDefault="005F559D" w:rsidP="005F559D">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0681F351" w14:textId="7C2D108C" w:rsidR="007819DF" w:rsidRPr="00BB0697" w:rsidRDefault="007819DF" w:rsidP="007819DF">
            <w:pPr>
              <w:spacing w:line="240" w:lineRule="auto"/>
              <w:rPr>
                <w:rFonts w:cs="Arial"/>
                <w:b/>
                <w:color w:val="000000"/>
                <w:sz w:val="20"/>
                <w:lang w:val="fr-CA"/>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sidRPr="00BB0697">
              <w:rPr>
                <w:rFonts w:cs="Arial"/>
                <w:b/>
                <w:sz w:val="18"/>
                <w:szCs w:val="18"/>
                <w:lang w:val="en-US"/>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BB0697" w:rsidRDefault="005F559D" w:rsidP="00221232">
            <w:pPr>
              <w:spacing w:line="240" w:lineRule="auto"/>
              <w:rPr>
                <w:rFonts w:cs="Arial"/>
                <w:sz w:val="18"/>
                <w:szCs w:val="18"/>
                <w:lang w:val="fr-CA"/>
              </w:rPr>
            </w:pPr>
            <w:r>
              <w:rPr>
                <w:rFonts w:cs="Arial"/>
                <w:sz w:val="18"/>
                <w:szCs w:val="18"/>
              </w:rPr>
              <w:t>GF Building Flow Solutions vient de faire une nouvelle avancée vers la neutralité carbone de ses opérations en ajoutant à la liste de ses sites de production ayant atteint la neutralité carbone (scopes 1 et 2) Cerkezkoy (</w:t>
            </w:r>
            <w:r>
              <w:rPr>
                <w:sz w:val="18"/>
                <w:szCs w:val="18"/>
              </w:rPr>
              <w:t>Turquie),</w:t>
            </w:r>
            <w:r>
              <w:rPr>
                <w:rFonts w:cs="Arial"/>
                <w:sz w:val="18"/>
                <w:szCs w:val="18"/>
              </w:rPr>
              <w:t xml:space="preserve"> le site de production d'Ecoflex à Hassfurt </w:t>
            </w:r>
            <w:r>
              <w:rPr>
                <w:sz w:val="18"/>
                <w:szCs w:val="18"/>
              </w:rPr>
              <w:t xml:space="preserve"> (Allemagne) et les installations de fabrication d'Apple Valle au siège social de GF en Amérique du nord </w:t>
            </w:r>
            <w:r>
              <w:rPr>
                <w:rFonts w:cs="Arial"/>
                <w:sz w:val="18"/>
                <w:szCs w:val="18"/>
              </w:rPr>
              <w:t>. Ce résultat souligne la volonté constante de GF Building Flow Solutions de limiter sa consommation de ressources.</w:t>
            </w:r>
          </w:p>
          <w:p w14:paraId="0D953A3D" w14:textId="77777777" w:rsidR="005F559D" w:rsidRPr="00BB0697" w:rsidRDefault="005F559D" w:rsidP="00221232">
            <w:pPr>
              <w:spacing w:line="240" w:lineRule="auto"/>
              <w:rPr>
                <w:rFonts w:cs="Arial"/>
                <w:sz w:val="18"/>
                <w:szCs w:val="18"/>
                <w:lang w:val="fr-CA"/>
              </w:rPr>
            </w:pPr>
          </w:p>
          <w:p w14:paraId="627324D3" w14:textId="6599C046" w:rsidR="00657CA7" w:rsidRPr="00A97303" w:rsidRDefault="00657CA7" w:rsidP="00221232">
            <w:pPr>
              <w:spacing w:line="240" w:lineRule="auto"/>
              <w:rPr>
                <w:rFonts w:cs="Arial"/>
                <w:b/>
                <w:sz w:val="18"/>
                <w:szCs w:val="18"/>
                <w:lang w:val="en-US"/>
              </w:rPr>
            </w:pPr>
            <w:r>
              <w:rPr>
                <w:rFonts w:cs="Arial"/>
                <w:b/>
                <w:sz w:val="18"/>
                <w:szCs w:val="18"/>
              </w:rPr>
              <w:t xml:space="preserve">Source :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BB0697"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lastRenderedPageBreak/>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sidRPr="00BB0697">
              <w:rPr>
                <w:rFonts w:cs="Arial"/>
                <w:b/>
                <w:sz w:val="18"/>
                <w:szCs w:val="18"/>
                <w:lang w:val="en-US"/>
              </w:rPr>
              <w:t>GF_BFS_ Cerkezkoy _Carbon_Neutral.jpg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r w:rsidRPr="00BB0697">
              <w:rPr>
                <w:rFonts w:cs="Arial"/>
                <w:sz w:val="18"/>
                <w:szCs w:val="18"/>
                <w:lang w:val="en-US"/>
              </w:rPr>
              <w:t>Fière d'atteindre la neutralité carbone, l'unité de fabrication de GF Building Flow Solutions à Cerkezkoy (Turquie), également connue sous le nom de Georg Fischer Hakan Plastik (premier rang, de gauche à droite) : Harun Albayrak, Production Manager, Andreas Weiglein, Vice President Operations, Thomas Fuhr, Chief Technology Officer, Esra Erdal, Managing Director, Yenal Gündüz, Supply Chain &amp; Operations Director, Barış Uğurlu, Head of Quality Management &amp; OPEX.</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sidRPr="00BB0697">
              <w:rPr>
                <w:rFonts w:cs="Arial"/>
                <w:b/>
                <w:sz w:val="18"/>
                <w:szCs w:val="18"/>
                <w:lang w:val="en-US"/>
              </w:rPr>
              <w:t xml:space="preserve">Source : GF Building Flow Solutions  </w:t>
            </w:r>
          </w:p>
        </w:tc>
      </w:tr>
      <w:tr w:rsidR="00885163" w:rsidRPr="00BB0697"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BB0697"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Default="00C357C8" w:rsidP="00C357C8">
            <w:pPr>
              <w:spacing w:line="240" w:lineRule="auto"/>
              <w:rPr>
                <w:rFonts w:cs="Arial"/>
                <w:b/>
                <w:sz w:val="18"/>
                <w:szCs w:val="18"/>
                <w:lang w:val="en-US"/>
              </w:rPr>
            </w:pPr>
            <w:r w:rsidRPr="00BB0697">
              <w:rPr>
                <w:rFonts w:cs="Arial"/>
                <w:b/>
                <w:sz w:val="18"/>
                <w:szCs w:val="18"/>
                <w:lang w:val="en-US"/>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r w:rsidRPr="00BB0697">
              <w:rPr>
                <w:rFonts w:cs="Arial"/>
                <w:sz w:val="18"/>
                <w:szCs w:val="18"/>
                <w:lang w:val="en-US"/>
              </w:rPr>
              <w:t xml:space="preserve">L'unité de fabrication de GF Building Flow Solutions à Cerkezkoy (Turquie), également connue sous le nom de Georg Fischer Hakan Plastik abrite des systèmes de traitement des eaux usées avec des solutions de qualité comme la gamme GF Silenta Premium (sur la photo), GF Silenta 3A ou GF HT-PP.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sidRPr="00BB0697">
              <w:rPr>
                <w:rFonts w:cs="Arial"/>
                <w:b/>
                <w:bCs/>
                <w:sz w:val="18"/>
                <w:szCs w:val="18"/>
                <w:lang w:val="en-US"/>
              </w:rPr>
              <w:t>Source : GF Building Flow Solutions</w:t>
            </w:r>
            <w:r w:rsidRPr="00BB0697">
              <w:rPr>
                <w:rFonts w:cs="Arial"/>
                <w:b/>
                <w:sz w:val="18"/>
                <w:szCs w:val="18"/>
                <w:lang w:val="en-US"/>
              </w:rPr>
              <w:t xml:space="preserve">  </w:t>
            </w:r>
          </w:p>
        </w:tc>
      </w:tr>
      <w:tr w:rsidR="006B0719" w:rsidRPr="00BB0697"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sidRPr="00BB0697">
              <w:rPr>
                <w:rFonts w:cs="Arial"/>
                <w:bCs/>
                <w:color w:val="FF0000"/>
                <w:sz w:val="18"/>
                <w:szCs w:val="18"/>
                <w:lang w:val="en-US"/>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7EC96FA6" w:rsidR="00C004CE" w:rsidRPr="00A97303" w:rsidRDefault="006D62D0" w:rsidP="00C004CE">
            <w:pPr>
              <w:spacing w:line="240" w:lineRule="auto"/>
              <w:rPr>
                <w:rFonts w:cs="Arial"/>
                <w:b/>
                <w:sz w:val="18"/>
                <w:szCs w:val="18"/>
                <w:lang w:val="en-US"/>
              </w:rPr>
            </w:pPr>
            <w:r w:rsidRPr="00BB0697">
              <w:rPr>
                <w:rFonts w:cs="Arial"/>
                <w:b/>
                <w:sz w:val="18"/>
                <w:szCs w:val="18"/>
                <w:lang w:val="en-US"/>
              </w:rPr>
              <w:t>GF_BFS_Ecoflex_VIP</w:t>
            </w:r>
            <w:r w:rsidR="00D829BA">
              <w:rPr>
                <w:rFonts w:cs="Arial"/>
                <w:b/>
                <w:sz w:val="18"/>
                <w:szCs w:val="18"/>
                <w:lang w:val="en-US"/>
              </w:rPr>
              <w:t>_</w:t>
            </w:r>
            <w:r w:rsidRPr="00BB0697">
              <w:rPr>
                <w:rFonts w:cs="Arial"/>
                <w:b/>
                <w:sz w:val="18"/>
                <w:szCs w:val="18"/>
                <w:lang w:val="en-US"/>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BB0697" w:rsidRDefault="00EC4AD9" w:rsidP="00333FA2">
            <w:pPr>
              <w:spacing w:line="240" w:lineRule="auto"/>
              <w:rPr>
                <w:rFonts w:cs="Arial"/>
                <w:sz w:val="18"/>
                <w:szCs w:val="18"/>
                <w:lang w:val="fr-CA"/>
              </w:rPr>
            </w:pPr>
            <w:r w:rsidRPr="00BB0697">
              <w:rPr>
                <w:rFonts w:cs="Arial"/>
                <w:sz w:val="18"/>
                <w:szCs w:val="18"/>
                <w:lang w:val="en-US"/>
              </w:rPr>
              <w:t xml:space="preserve">Le site de production de GF Building Flow Solutions Ecoflex à Hassfurt (Allemagne) a atteint la neutralité climatique. </w:t>
            </w:r>
            <w:r>
              <w:rPr>
                <w:rFonts w:cs="Arial"/>
                <w:sz w:val="18"/>
                <w:szCs w:val="18"/>
              </w:rPr>
              <w:t xml:space="preserve">Il fabrique des tuyaux Ecoflex et des tuyaux VIP Ecoflex (sur la photo) pour le chauffage urbain, le rafraichissement et la distribution d'eau, et il les expédie pour des projets aux quatre coins du monde. </w:t>
            </w:r>
          </w:p>
          <w:p w14:paraId="0C2CF949" w14:textId="77777777" w:rsidR="00A97303" w:rsidRPr="00BB0697" w:rsidRDefault="00A97303" w:rsidP="00C004CE">
            <w:pPr>
              <w:spacing w:line="240" w:lineRule="auto"/>
              <w:rPr>
                <w:rFonts w:cs="Arial"/>
                <w:b/>
                <w:bCs/>
                <w:sz w:val="18"/>
                <w:szCs w:val="18"/>
                <w:lang w:val="fr-CA"/>
              </w:rPr>
            </w:pPr>
          </w:p>
          <w:p w14:paraId="0019D510" w14:textId="77777777" w:rsidR="00A97303" w:rsidRPr="00BB0697" w:rsidRDefault="00A97303" w:rsidP="00C004CE">
            <w:pPr>
              <w:spacing w:line="240" w:lineRule="auto"/>
              <w:rPr>
                <w:rFonts w:cs="Arial"/>
                <w:b/>
                <w:bCs/>
                <w:sz w:val="18"/>
                <w:szCs w:val="18"/>
                <w:lang w:val="fr-CA"/>
              </w:rPr>
            </w:pPr>
          </w:p>
          <w:p w14:paraId="192DDBD3" w14:textId="77777777" w:rsidR="008A02C5" w:rsidRPr="00BB0697" w:rsidRDefault="008A02C5" w:rsidP="00C004CE">
            <w:pPr>
              <w:spacing w:line="240" w:lineRule="auto"/>
              <w:rPr>
                <w:rFonts w:cs="Arial"/>
                <w:b/>
                <w:bCs/>
                <w:sz w:val="18"/>
                <w:szCs w:val="18"/>
                <w:lang w:val="fr-CA"/>
              </w:rPr>
            </w:pPr>
          </w:p>
          <w:p w14:paraId="5FEE0D4A" w14:textId="77777777" w:rsidR="00071F41" w:rsidRPr="00BB0697" w:rsidRDefault="00071F41" w:rsidP="00C004CE">
            <w:pPr>
              <w:spacing w:line="240" w:lineRule="auto"/>
              <w:rPr>
                <w:rFonts w:cs="Arial"/>
                <w:b/>
                <w:bCs/>
                <w:sz w:val="18"/>
                <w:szCs w:val="18"/>
                <w:lang w:val="fr-CA"/>
              </w:rPr>
            </w:pPr>
          </w:p>
          <w:p w14:paraId="1C5AB80C" w14:textId="77777777" w:rsidR="006B0719" w:rsidRDefault="00C004CE" w:rsidP="00C004CE">
            <w:pPr>
              <w:spacing w:line="240" w:lineRule="auto"/>
              <w:rPr>
                <w:rFonts w:cs="Arial"/>
                <w:b/>
                <w:sz w:val="18"/>
                <w:szCs w:val="18"/>
                <w:lang w:val="en-US"/>
              </w:rPr>
            </w:pPr>
            <w:r w:rsidRPr="00BB0697">
              <w:rPr>
                <w:rFonts w:cs="Arial"/>
                <w:b/>
                <w:bCs/>
                <w:sz w:val="18"/>
                <w:szCs w:val="18"/>
                <w:lang w:val="en-US"/>
              </w:rPr>
              <w:t>Source : GF Building Flow Solutions</w:t>
            </w:r>
            <w:r w:rsidRPr="00BB0697">
              <w:rPr>
                <w:rFonts w:cs="Arial"/>
                <w:b/>
                <w:sz w:val="18"/>
                <w:szCs w:val="18"/>
                <w:lang w:val="en-US"/>
              </w:rPr>
              <w:t xml:space="preserve">  </w:t>
            </w:r>
          </w:p>
          <w:p w14:paraId="0564101B" w14:textId="5FEB106A" w:rsidR="002D7DBD" w:rsidRPr="00A97303" w:rsidRDefault="002D7DBD" w:rsidP="00C004CE">
            <w:pPr>
              <w:spacing w:line="240" w:lineRule="auto"/>
              <w:rPr>
                <w:rFonts w:cs="Arial"/>
                <w:sz w:val="20"/>
                <w:lang w:val="en-US"/>
              </w:rPr>
            </w:pPr>
          </w:p>
        </w:tc>
      </w:tr>
      <w:tr w:rsidR="00CD4910" w:rsidRPr="00BB0697"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31350C7D" w14:textId="77777777" w:rsidR="00232B16" w:rsidRDefault="00232B16" w:rsidP="00232B16">
            <w:pPr>
              <w:spacing w:line="240" w:lineRule="auto"/>
              <w:rPr>
                <w:rFonts w:cs="Arial"/>
                <w:b/>
                <w:sz w:val="18"/>
                <w:szCs w:val="18"/>
                <w:lang w:val="en-US"/>
              </w:rPr>
            </w:pPr>
            <w:r w:rsidRPr="00787CD0">
              <w:rPr>
                <w:rFonts w:cs="Arial"/>
                <w:b/>
                <w:sz w:val="18"/>
                <w:szCs w:val="18"/>
                <w:lang w:val="en-US"/>
              </w:rPr>
              <w:t>GF_BFS_</w:t>
            </w:r>
            <w:r>
              <w:rPr>
                <w:rFonts w:cs="Arial"/>
                <w:b/>
                <w:sz w:val="18"/>
                <w:szCs w:val="18"/>
                <w:lang w:val="en-US"/>
              </w:rPr>
              <w:t>Apple_Valley_Manufacturing_</w:t>
            </w:r>
          </w:p>
          <w:p w14:paraId="5B2CECD4" w14:textId="77777777" w:rsidR="00232B16" w:rsidRPr="00787CD0" w:rsidRDefault="00232B16" w:rsidP="00232B16">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BB0697" w:rsidRDefault="00CD4910" w:rsidP="008611B1">
            <w:pPr>
              <w:spacing w:line="240" w:lineRule="auto"/>
              <w:rPr>
                <w:rFonts w:cs="Arial"/>
                <w:color w:val="FF0000"/>
                <w:sz w:val="18"/>
                <w:szCs w:val="18"/>
                <w:lang w:val="fr-CA"/>
              </w:rPr>
            </w:pPr>
            <w:r>
              <w:rPr>
                <w:rFonts w:cs="Arial"/>
                <w:sz w:val="18"/>
                <w:szCs w:val="18"/>
              </w:rPr>
              <w:t>Un travail d'équipe : les installations de fabrication d'Apple Valle de GF Building Flow Solutions ont atteint la neutralité carbone.</w:t>
            </w:r>
            <w:r>
              <w:rPr>
                <w:rFonts w:cs="Arial"/>
                <w:b/>
                <w:sz w:val="20"/>
              </w:rPr>
              <w:t xml:space="preserve"> </w:t>
            </w:r>
            <w:r>
              <w:br/>
            </w:r>
          </w:p>
          <w:p w14:paraId="301274D0" w14:textId="77777777" w:rsidR="00CD4910" w:rsidRPr="00BB0697" w:rsidRDefault="00CD4910" w:rsidP="008611B1">
            <w:pPr>
              <w:spacing w:line="240" w:lineRule="auto"/>
              <w:rPr>
                <w:rFonts w:cs="Arial"/>
                <w:sz w:val="20"/>
                <w:lang w:val="fr-CA"/>
              </w:rPr>
            </w:pPr>
          </w:p>
          <w:p w14:paraId="1D36BFD3" w14:textId="77777777" w:rsidR="00CD4910" w:rsidRPr="00BB0697" w:rsidRDefault="00CD4910" w:rsidP="008611B1">
            <w:pPr>
              <w:spacing w:line="240" w:lineRule="auto"/>
              <w:rPr>
                <w:rFonts w:cs="Arial"/>
                <w:sz w:val="20"/>
                <w:lang w:val="fr-CA"/>
              </w:rPr>
            </w:pPr>
          </w:p>
          <w:p w14:paraId="5869C11E" w14:textId="77777777" w:rsidR="00CD4910" w:rsidRPr="00BB0697" w:rsidRDefault="00CD4910" w:rsidP="008611B1">
            <w:pPr>
              <w:spacing w:line="240" w:lineRule="auto"/>
              <w:rPr>
                <w:rFonts w:cs="Arial"/>
                <w:sz w:val="20"/>
                <w:lang w:val="fr-CA"/>
              </w:rPr>
            </w:pPr>
          </w:p>
          <w:p w14:paraId="6C226FF7" w14:textId="77777777" w:rsidR="00CD4910" w:rsidRPr="00BB0697" w:rsidRDefault="00CD4910" w:rsidP="008611B1">
            <w:pPr>
              <w:spacing w:line="240" w:lineRule="auto"/>
              <w:rPr>
                <w:rFonts w:cs="Arial"/>
                <w:sz w:val="20"/>
                <w:lang w:val="fr-CA"/>
              </w:rPr>
            </w:pPr>
          </w:p>
          <w:p w14:paraId="0BA4ADC4" w14:textId="2BBF6C79" w:rsidR="00CD4910" w:rsidRPr="00BB0697" w:rsidRDefault="00CD4910" w:rsidP="008611B1">
            <w:pPr>
              <w:spacing w:line="240" w:lineRule="auto"/>
              <w:rPr>
                <w:rFonts w:cs="Arial"/>
                <w:sz w:val="20"/>
                <w:lang w:val="fr-CA"/>
              </w:rPr>
            </w:pPr>
          </w:p>
          <w:p w14:paraId="47AAF08D" w14:textId="77777777" w:rsidR="00CD4910" w:rsidRPr="00BB0697" w:rsidRDefault="00CD4910" w:rsidP="008611B1">
            <w:pPr>
              <w:spacing w:line="240" w:lineRule="auto"/>
              <w:rPr>
                <w:rFonts w:cs="Arial"/>
                <w:sz w:val="20"/>
                <w:lang w:val="fr-CA"/>
              </w:rPr>
            </w:pPr>
          </w:p>
          <w:p w14:paraId="03DB29DC" w14:textId="77777777" w:rsidR="00CD4910" w:rsidRPr="007E167B" w:rsidRDefault="00CD4910" w:rsidP="008611B1">
            <w:pPr>
              <w:spacing w:line="240" w:lineRule="auto"/>
              <w:rPr>
                <w:rFonts w:cs="Arial"/>
                <w:sz w:val="20"/>
                <w:lang w:val="en-US"/>
              </w:rPr>
            </w:pPr>
            <w:r w:rsidRPr="00BB0697">
              <w:rPr>
                <w:rFonts w:cs="Arial"/>
                <w:b/>
                <w:sz w:val="18"/>
                <w:szCs w:val="18"/>
                <w:lang w:val="en-US"/>
              </w:rPr>
              <w:t xml:space="preserve">Source :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2B16"/>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D7DBD"/>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3B26"/>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0B9"/>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697"/>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BA"/>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1C6"/>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22" Type="http://schemas.openxmlformats.org/officeDocument/2006/relationships/header" Target="header1.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1306</Words>
  <Characters>8782</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6</cp:revision>
  <cp:lastPrinted>2018-02-27T15:02:00Z</cp:lastPrinted>
  <dcterms:created xsi:type="dcterms:W3CDTF">2025-04-14T12:17:00Z</dcterms:created>
  <dcterms:modified xsi:type="dcterms:W3CDTF">2025-04-15T15:00:00Z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